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EF" w:rsidRDefault="00673704" w:rsidP="00E521E7">
      <w:pPr>
        <w:jc w:val="center"/>
        <w:rPr>
          <w:rFonts w:ascii="Arial" w:hAnsi="Arial" w:cs="Arial"/>
          <w:snapToGrid w:val="0"/>
          <w:sz w:val="22"/>
          <w:szCs w:val="22"/>
        </w:rPr>
      </w:pPr>
      <w:bookmarkStart w:id="0" w:name="_GoBack"/>
      <w:bookmarkEnd w:id="0"/>
      <w:r>
        <w:rPr>
          <w:rFonts w:ascii="Arial" w:hAnsi="Arial" w:cs="Arial"/>
          <w:snapToGrid w:val="0"/>
          <w:sz w:val="22"/>
          <w:szCs w:val="22"/>
        </w:rPr>
        <w:t>CBN-1025</w:t>
      </w:r>
    </w:p>
    <w:p w:rsidR="00C53BCB" w:rsidRDefault="00C53BCB" w:rsidP="00E521E7">
      <w:pPr>
        <w:jc w:val="center"/>
        <w:rPr>
          <w:rFonts w:ascii="Arial" w:hAnsi="Arial" w:cs="Arial"/>
          <w:snapToGrid w:val="0"/>
          <w:sz w:val="22"/>
          <w:szCs w:val="22"/>
        </w:rPr>
      </w:pPr>
    </w:p>
    <w:p w:rsidR="00C53BCB" w:rsidRDefault="00C53BCB" w:rsidP="00E521E7">
      <w:pPr>
        <w:jc w:val="center"/>
        <w:rPr>
          <w:rFonts w:ascii="Arial" w:hAnsi="Arial" w:cs="Arial"/>
          <w:snapToGrid w:val="0"/>
          <w:sz w:val="22"/>
          <w:szCs w:val="22"/>
        </w:rPr>
      </w:pPr>
    </w:p>
    <w:p w:rsidR="00C53BCB" w:rsidRDefault="00C53BCB" w:rsidP="00E521E7">
      <w:pPr>
        <w:jc w:val="center"/>
        <w:rPr>
          <w:rFonts w:ascii="Arial" w:hAnsi="Arial" w:cs="Arial"/>
          <w:snapToGrid w:val="0"/>
          <w:sz w:val="22"/>
          <w:szCs w:val="22"/>
        </w:rPr>
      </w:pPr>
    </w:p>
    <w:p w:rsidR="00132BEA" w:rsidRDefault="00132BEA" w:rsidP="00E521E7">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r w:rsidRPr="00612FF7">
        <w:rPr>
          <w:rFonts w:ascii="Arial" w:hAnsi="Arial" w:cs="Arial"/>
          <w:snapToGrid w:val="0"/>
          <w:sz w:val="22"/>
          <w:szCs w:val="22"/>
        </w:rPr>
        <w:t>SISTEMA DE GESTIÓN DE CALIDAD</w:t>
      </w:r>
    </w:p>
    <w:p w:rsidR="00E521E7" w:rsidRPr="00612FF7" w:rsidRDefault="00E521E7" w:rsidP="00400349">
      <w:pPr>
        <w:jc w:val="center"/>
        <w:rPr>
          <w:rFonts w:ascii="Arial" w:hAnsi="Arial" w:cs="Arial"/>
          <w:snapToGrid w:val="0"/>
          <w:sz w:val="22"/>
          <w:szCs w:val="22"/>
        </w:rPr>
      </w:pPr>
      <w:r w:rsidRPr="00612FF7">
        <w:rPr>
          <w:rFonts w:ascii="Arial" w:hAnsi="Arial" w:cs="Arial"/>
          <w:snapToGrid w:val="0"/>
          <w:sz w:val="22"/>
          <w:szCs w:val="22"/>
        </w:rPr>
        <w:t>PROCESO DE GESTION FINANCIERA</w:t>
      </w: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Default="00302890" w:rsidP="00302890">
      <w:pPr>
        <w:jc w:val="center"/>
        <w:rPr>
          <w:rFonts w:ascii="Arial" w:hAnsi="Arial" w:cs="Arial"/>
          <w:sz w:val="22"/>
          <w:szCs w:val="22"/>
        </w:rPr>
      </w:pPr>
      <w:r>
        <w:rPr>
          <w:rFonts w:ascii="Arial" w:hAnsi="Arial" w:cs="Arial"/>
          <w:sz w:val="22"/>
          <w:szCs w:val="22"/>
        </w:rPr>
        <w:t>INFORME DE GESTIO</w:t>
      </w:r>
      <w:r w:rsidR="00A96E91">
        <w:rPr>
          <w:rFonts w:ascii="Arial" w:hAnsi="Arial" w:cs="Arial"/>
          <w:sz w:val="22"/>
          <w:szCs w:val="22"/>
        </w:rPr>
        <w:t>N</w:t>
      </w:r>
    </w:p>
    <w:p w:rsidR="00302890" w:rsidRPr="00302890" w:rsidRDefault="002637A3" w:rsidP="00302890">
      <w:pPr>
        <w:jc w:val="center"/>
        <w:rPr>
          <w:rFonts w:ascii="Arial" w:hAnsi="Arial" w:cs="Arial"/>
          <w:sz w:val="22"/>
          <w:szCs w:val="22"/>
        </w:rPr>
      </w:pPr>
      <w:r>
        <w:rPr>
          <w:rFonts w:ascii="Arial" w:hAnsi="Arial" w:cs="Arial"/>
          <w:sz w:val="22"/>
          <w:szCs w:val="22"/>
        </w:rPr>
        <w:t>Diciembre 31</w:t>
      </w:r>
      <w:r w:rsidR="005F7B2F">
        <w:rPr>
          <w:rFonts w:ascii="Arial" w:hAnsi="Arial" w:cs="Arial"/>
          <w:sz w:val="22"/>
          <w:szCs w:val="22"/>
        </w:rPr>
        <w:t xml:space="preserve"> DE 2018</w:t>
      </w: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p>
    <w:p w:rsidR="00E521E7" w:rsidRPr="00612FF7" w:rsidRDefault="00870453" w:rsidP="00400349">
      <w:pPr>
        <w:jc w:val="center"/>
        <w:rPr>
          <w:rFonts w:ascii="Arial" w:hAnsi="Arial" w:cs="Arial"/>
          <w:sz w:val="22"/>
          <w:szCs w:val="22"/>
        </w:rPr>
      </w:pPr>
      <w:r>
        <w:rPr>
          <w:rFonts w:ascii="Arial" w:hAnsi="Arial" w:cs="Arial"/>
          <w:snapToGrid w:val="0"/>
          <w:sz w:val="22"/>
          <w:szCs w:val="22"/>
        </w:rPr>
        <w:t>CARLOS EDUARDO MALDONADO GRANADOS</w:t>
      </w:r>
    </w:p>
    <w:p w:rsidR="00E521E7" w:rsidRPr="00612FF7" w:rsidRDefault="00E521E7" w:rsidP="00400349">
      <w:pPr>
        <w:jc w:val="center"/>
        <w:rPr>
          <w:rFonts w:ascii="Arial" w:hAnsi="Arial" w:cs="Arial"/>
          <w:sz w:val="22"/>
          <w:szCs w:val="22"/>
        </w:rPr>
      </w:pPr>
      <w:r w:rsidRPr="00612FF7">
        <w:rPr>
          <w:rFonts w:ascii="Arial" w:hAnsi="Arial" w:cs="Arial"/>
          <w:sz w:val="22"/>
          <w:szCs w:val="22"/>
        </w:rPr>
        <w:t>Subdirector Financiero</w:t>
      </w: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Default="00E521E7" w:rsidP="00400349">
      <w:pPr>
        <w:jc w:val="center"/>
        <w:rPr>
          <w:rFonts w:ascii="Arial" w:hAnsi="Arial" w:cs="Arial"/>
          <w:sz w:val="22"/>
          <w:szCs w:val="22"/>
        </w:rPr>
      </w:pPr>
      <w:r w:rsidRPr="00612FF7">
        <w:rPr>
          <w:rFonts w:ascii="Arial" w:hAnsi="Arial" w:cs="Arial"/>
          <w:sz w:val="22"/>
          <w:szCs w:val="22"/>
        </w:rPr>
        <w:t>SUBDIRECCIÓN FINANCIERA</w:t>
      </w:r>
    </w:p>
    <w:p w:rsidR="00302890" w:rsidRPr="00302890" w:rsidRDefault="002637A3" w:rsidP="00302890">
      <w:pPr>
        <w:jc w:val="center"/>
        <w:rPr>
          <w:rFonts w:ascii="Arial" w:hAnsi="Arial" w:cs="Arial"/>
          <w:sz w:val="22"/>
          <w:szCs w:val="22"/>
        </w:rPr>
      </w:pPr>
      <w:r>
        <w:rPr>
          <w:rFonts w:ascii="Arial" w:hAnsi="Arial" w:cs="Arial"/>
          <w:sz w:val="22"/>
          <w:szCs w:val="22"/>
        </w:rPr>
        <w:t>Diciembre</w:t>
      </w:r>
      <w:r w:rsidR="00FB7CDA">
        <w:rPr>
          <w:rFonts w:ascii="Arial" w:hAnsi="Arial" w:cs="Arial"/>
          <w:sz w:val="22"/>
          <w:szCs w:val="22"/>
        </w:rPr>
        <w:t xml:space="preserve"> </w:t>
      </w:r>
      <w:r>
        <w:rPr>
          <w:rFonts w:ascii="Arial" w:hAnsi="Arial" w:cs="Arial"/>
          <w:sz w:val="22"/>
          <w:szCs w:val="22"/>
        </w:rPr>
        <w:t xml:space="preserve">31 </w:t>
      </w:r>
      <w:r w:rsidR="000B01EF">
        <w:rPr>
          <w:rFonts w:ascii="Arial" w:hAnsi="Arial" w:cs="Arial"/>
          <w:sz w:val="22"/>
          <w:szCs w:val="22"/>
        </w:rPr>
        <w:t>DE</w:t>
      </w:r>
      <w:r w:rsidR="005F7B2F">
        <w:rPr>
          <w:rFonts w:ascii="Arial" w:hAnsi="Arial" w:cs="Arial"/>
          <w:sz w:val="22"/>
          <w:szCs w:val="22"/>
        </w:rPr>
        <w:t xml:space="preserve"> 2018</w:t>
      </w:r>
    </w:p>
    <w:p w:rsidR="00302890" w:rsidRPr="00612FF7" w:rsidRDefault="00302890"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r w:rsidRPr="00612FF7">
        <w:rPr>
          <w:rFonts w:ascii="Arial" w:hAnsi="Arial" w:cs="Arial"/>
          <w:sz w:val="22"/>
          <w:szCs w:val="22"/>
        </w:rPr>
        <w:t>Bogotá, D.C</w:t>
      </w:r>
    </w:p>
    <w:p w:rsidR="00E521E7" w:rsidRPr="00612FF7" w:rsidRDefault="00E521E7" w:rsidP="00400349">
      <w:pPr>
        <w:jc w:val="center"/>
        <w:rPr>
          <w:rFonts w:ascii="Arial" w:hAnsi="Arial" w:cs="Arial"/>
          <w:sz w:val="22"/>
          <w:szCs w:val="22"/>
        </w:rPr>
      </w:pPr>
    </w:p>
    <w:p w:rsidR="00904124" w:rsidRDefault="00904124" w:rsidP="00400349">
      <w:pPr>
        <w:spacing w:after="160" w:line="259" w:lineRule="auto"/>
        <w:jc w:val="center"/>
        <w:rPr>
          <w:rFonts w:ascii="Arial" w:hAnsi="Arial" w:cs="Arial"/>
          <w:b/>
          <w:sz w:val="22"/>
          <w:szCs w:val="22"/>
        </w:rPr>
      </w:pPr>
      <w:r>
        <w:rPr>
          <w:rFonts w:ascii="Arial" w:hAnsi="Arial" w:cs="Arial"/>
          <w:b/>
          <w:sz w:val="22"/>
          <w:szCs w:val="22"/>
        </w:rPr>
        <w:br w:type="page"/>
      </w:r>
    </w:p>
    <w:p w:rsidR="007C07CE" w:rsidRPr="00612FF7" w:rsidRDefault="00612FF7" w:rsidP="007A04AE">
      <w:pPr>
        <w:spacing w:line="276" w:lineRule="auto"/>
        <w:jc w:val="center"/>
        <w:rPr>
          <w:rFonts w:ascii="Arial" w:hAnsi="Arial" w:cs="Arial"/>
          <w:b/>
          <w:sz w:val="22"/>
          <w:szCs w:val="22"/>
        </w:rPr>
      </w:pPr>
      <w:r w:rsidRPr="00612FF7">
        <w:rPr>
          <w:rFonts w:ascii="Arial" w:hAnsi="Arial" w:cs="Arial"/>
          <w:b/>
          <w:sz w:val="22"/>
          <w:szCs w:val="22"/>
        </w:rPr>
        <w:lastRenderedPageBreak/>
        <w:t>PRESENTACIÓN</w:t>
      </w:r>
    </w:p>
    <w:p w:rsidR="00612FF7" w:rsidRPr="00612FF7" w:rsidRDefault="00612FF7" w:rsidP="00CD17B2">
      <w:pPr>
        <w:spacing w:line="276" w:lineRule="auto"/>
        <w:jc w:val="both"/>
        <w:rPr>
          <w:rFonts w:ascii="Arial" w:hAnsi="Arial" w:cs="Arial"/>
          <w:sz w:val="22"/>
          <w:szCs w:val="22"/>
        </w:rPr>
      </w:pPr>
    </w:p>
    <w:p w:rsidR="00343538" w:rsidRPr="00C47020" w:rsidRDefault="00343538" w:rsidP="00343538">
      <w:pPr>
        <w:spacing w:line="276" w:lineRule="auto"/>
        <w:jc w:val="both"/>
        <w:rPr>
          <w:rFonts w:ascii="Arial" w:hAnsi="Arial" w:cs="Arial"/>
          <w:color w:val="000000" w:themeColor="text1"/>
          <w:sz w:val="22"/>
          <w:szCs w:val="22"/>
        </w:rPr>
      </w:pPr>
      <w:r w:rsidRPr="00C47020">
        <w:rPr>
          <w:rFonts w:ascii="Arial" w:hAnsi="Arial" w:cs="Arial"/>
          <w:color w:val="000000" w:themeColor="text1"/>
          <w:sz w:val="22"/>
          <w:szCs w:val="22"/>
        </w:rPr>
        <w:t xml:space="preserve">Los </w:t>
      </w:r>
      <w:r w:rsidR="00085B5D">
        <w:rPr>
          <w:rFonts w:ascii="Arial" w:hAnsi="Arial" w:cs="Arial"/>
          <w:color w:val="000000" w:themeColor="text1"/>
          <w:sz w:val="22"/>
          <w:szCs w:val="22"/>
        </w:rPr>
        <w:t>res</w:t>
      </w:r>
      <w:r w:rsidR="00576F81">
        <w:rPr>
          <w:rFonts w:ascii="Arial" w:hAnsi="Arial" w:cs="Arial"/>
          <w:color w:val="000000" w:themeColor="text1"/>
          <w:sz w:val="22"/>
          <w:szCs w:val="22"/>
        </w:rPr>
        <w:t>ultados presentados a</w:t>
      </w:r>
      <w:r w:rsidR="002637A3">
        <w:rPr>
          <w:rFonts w:ascii="Arial" w:hAnsi="Arial" w:cs="Arial"/>
          <w:color w:val="000000" w:themeColor="text1"/>
          <w:sz w:val="22"/>
          <w:szCs w:val="22"/>
        </w:rPr>
        <w:t xml:space="preserve"> Diciembre 31</w:t>
      </w:r>
      <w:r w:rsidR="005F7B2F">
        <w:rPr>
          <w:rFonts w:ascii="Arial" w:hAnsi="Arial" w:cs="Arial"/>
          <w:color w:val="000000" w:themeColor="text1"/>
          <w:sz w:val="22"/>
          <w:szCs w:val="22"/>
        </w:rPr>
        <w:t xml:space="preserve"> de 2018</w:t>
      </w:r>
      <w:r w:rsidRPr="00C47020">
        <w:rPr>
          <w:rFonts w:ascii="Arial" w:hAnsi="Arial" w:cs="Arial"/>
          <w:color w:val="000000" w:themeColor="text1"/>
          <w:sz w:val="22"/>
          <w:szCs w:val="22"/>
        </w:rPr>
        <w:t>, reflejan la gestión desarrollada que co</w:t>
      </w:r>
      <w:r w:rsidR="00A8757C">
        <w:rPr>
          <w:rFonts w:ascii="Arial" w:hAnsi="Arial" w:cs="Arial"/>
          <w:color w:val="000000" w:themeColor="text1"/>
          <w:sz w:val="22"/>
          <w:szCs w:val="22"/>
        </w:rPr>
        <w:t>ntribuye al cumplimiento del Plan Estratégico 2016-2020 “Una Contraloría Aliada con Bogotá</w:t>
      </w:r>
      <w:r w:rsidRPr="00C47020">
        <w:rPr>
          <w:rFonts w:ascii="Arial" w:hAnsi="Arial" w:cs="Arial"/>
          <w:color w:val="000000" w:themeColor="text1"/>
          <w:sz w:val="22"/>
          <w:szCs w:val="22"/>
        </w:rPr>
        <w:t>” de la Contraloría de Bogo</w:t>
      </w:r>
      <w:r w:rsidR="00A8757C">
        <w:rPr>
          <w:rFonts w:ascii="Arial" w:hAnsi="Arial" w:cs="Arial"/>
          <w:color w:val="000000" w:themeColor="text1"/>
          <w:sz w:val="22"/>
          <w:szCs w:val="22"/>
        </w:rPr>
        <w:t>tá D.C</w:t>
      </w:r>
      <w:r w:rsidRPr="00C47020">
        <w:rPr>
          <w:rFonts w:ascii="Arial" w:hAnsi="Arial" w:cs="Arial"/>
          <w:color w:val="000000" w:themeColor="text1"/>
          <w:sz w:val="22"/>
          <w:szCs w:val="22"/>
        </w:rPr>
        <w:t>.</w:t>
      </w:r>
    </w:p>
    <w:p w:rsidR="00343538" w:rsidRPr="00C47020" w:rsidRDefault="00343538" w:rsidP="00343538">
      <w:pPr>
        <w:spacing w:line="276" w:lineRule="auto"/>
        <w:jc w:val="both"/>
        <w:rPr>
          <w:rFonts w:ascii="Arial" w:hAnsi="Arial" w:cs="Arial"/>
          <w:color w:val="000000" w:themeColor="text1"/>
          <w:sz w:val="22"/>
          <w:szCs w:val="22"/>
        </w:rPr>
      </w:pPr>
      <w:r w:rsidRPr="00C47020">
        <w:rPr>
          <w:rFonts w:ascii="Arial" w:hAnsi="Arial" w:cs="Arial"/>
          <w:color w:val="000000" w:themeColor="text1"/>
          <w:sz w:val="22"/>
          <w:szCs w:val="22"/>
        </w:rPr>
        <w:t xml:space="preserve">La Gestión Financiera como proceso de apoyo y para contribuir con el Plan Estratégico tiene como objetivo “Planear, ejecutar y hacer seguimiento a la ejecución presupuestal de los recursos apropiados a la Contraloría de Bogotá D.C., de acuerdo con la normatividad vigente, a través de herramientas e instrumentos con el fin de dar a conocer de manera oportuna y veraz, el nivel de ejecución para la toma de decisiones. De acuerdo a lo anterior, contribuye al objetivo corporativo </w:t>
      </w:r>
      <w:r w:rsidR="00CF0C1B">
        <w:rPr>
          <w:rFonts w:ascii="Arial" w:hAnsi="Arial" w:cs="Arial"/>
          <w:color w:val="000000" w:themeColor="text1"/>
          <w:sz w:val="22"/>
          <w:szCs w:val="22"/>
        </w:rPr>
        <w:t>No.</w:t>
      </w:r>
      <w:r w:rsidR="00CF0C1B" w:rsidRPr="00CF0C1B">
        <w:rPr>
          <w:rFonts w:ascii="Arial" w:hAnsi="Arial" w:cs="Arial"/>
          <w:color w:val="000000" w:themeColor="text1"/>
          <w:sz w:val="22"/>
          <w:szCs w:val="22"/>
        </w:rPr>
        <w:t>4. Fortalecer la capacidad institucional, optimizando los recursos, hacia un control fiscal efectivo</w:t>
      </w:r>
      <w:r w:rsidRPr="00C47020">
        <w:rPr>
          <w:rFonts w:ascii="Arial" w:hAnsi="Arial" w:cs="Arial"/>
          <w:color w:val="000000" w:themeColor="text1"/>
          <w:sz w:val="22"/>
          <w:szCs w:val="22"/>
        </w:rPr>
        <w:t xml:space="preserve">.; Estrategia </w:t>
      </w:r>
      <w:r w:rsidR="00CF0C1B">
        <w:rPr>
          <w:rFonts w:ascii="Arial" w:hAnsi="Arial" w:cs="Arial"/>
          <w:color w:val="000000" w:themeColor="text1"/>
          <w:sz w:val="22"/>
          <w:szCs w:val="22"/>
        </w:rPr>
        <w:t xml:space="preserve">No. </w:t>
      </w:r>
      <w:r w:rsidR="00CF0C1B" w:rsidRPr="00CF0C1B">
        <w:rPr>
          <w:rFonts w:ascii="Arial" w:hAnsi="Arial" w:cs="Arial"/>
          <w:color w:val="000000" w:themeColor="text1"/>
          <w:sz w:val="22"/>
          <w:szCs w:val="22"/>
        </w:rPr>
        <w:t>4.5. Optimizar los recursos físicos y Financieros que permitan satisfacer las necesidades de la gestión institucional.</w:t>
      </w:r>
    </w:p>
    <w:p w:rsidR="007C07CE" w:rsidRPr="00C47020" w:rsidRDefault="007C07CE" w:rsidP="00CD17B2">
      <w:pPr>
        <w:spacing w:line="276" w:lineRule="auto"/>
        <w:jc w:val="both"/>
        <w:rPr>
          <w:rFonts w:ascii="Arial" w:hAnsi="Arial" w:cs="Arial"/>
          <w:color w:val="000000" w:themeColor="text1"/>
          <w:sz w:val="22"/>
          <w:szCs w:val="22"/>
        </w:rPr>
      </w:pPr>
      <w:r w:rsidRPr="00C47020">
        <w:rPr>
          <w:rFonts w:ascii="Arial" w:hAnsi="Arial" w:cs="Arial"/>
          <w:color w:val="000000" w:themeColor="text1"/>
          <w:sz w:val="22"/>
          <w:szCs w:val="22"/>
        </w:rPr>
        <w:t>Para la vigencia 201</w:t>
      </w:r>
      <w:r w:rsidR="005F7B2F">
        <w:rPr>
          <w:rFonts w:ascii="Arial" w:hAnsi="Arial" w:cs="Arial"/>
          <w:color w:val="000000" w:themeColor="text1"/>
          <w:sz w:val="22"/>
          <w:szCs w:val="22"/>
        </w:rPr>
        <w:t>8</w:t>
      </w:r>
      <w:r w:rsidRPr="00C47020">
        <w:rPr>
          <w:rFonts w:ascii="Arial" w:hAnsi="Arial" w:cs="Arial"/>
          <w:color w:val="000000" w:themeColor="text1"/>
          <w:sz w:val="22"/>
          <w:szCs w:val="22"/>
        </w:rPr>
        <w:t xml:space="preserve">, el Subdirector Financiero como responsable del proceso, junto </w:t>
      </w:r>
      <w:r w:rsidR="007A04AE" w:rsidRPr="00C47020">
        <w:rPr>
          <w:rFonts w:ascii="Arial" w:hAnsi="Arial" w:cs="Arial"/>
          <w:color w:val="000000" w:themeColor="text1"/>
          <w:sz w:val="22"/>
          <w:szCs w:val="22"/>
        </w:rPr>
        <w:t>con el recurso</w:t>
      </w:r>
      <w:r w:rsidR="00343538" w:rsidRPr="00C47020">
        <w:rPr>
          <w:rFonts w:ascii="Arial" w:hAnsi="Arial" w:cs="Arial"/>
          <w:color w:val="000000" w:themeColor="text1"/>
          <w:sz w:val="22"/>
          <w:szCs w:val="22"/>
        </w:rPr>
        <w:t xml:space="preserve"> humano de la S</w:t>
      </w:r>
      <w:r w:rsidRPr="00C47020">
        <w:rPr>
          <w:rFonts w:ascii="Arial" w:hAnsi="Arial" w:cs="Arial"/>
          <w:color w:val="000000" w:themeColor="text1"/>
          <w:sz w:val="22"/>
          <w:szCs w:val="22"/>
        </w:rPr>
        <w:t xml:space="preserve">ubdirección </w:t>
      </w:r>
      <w:r w:rsidR="00343538" w:rsidRPr="00C47020">
        <w:rPr>
          <w:rFonts w:ascii="Arial" w:hAnsi="Arial" w:cs="Arial"/>
          <w:color w:val="000000" w:themeColor="text1"/>
          <w:sz w:val="22"/>
          <w:szCs w:val="22"/>
        </w:rPr>
        <w:t>F</w:t>
      </w:r>
      <w:r w:rsidRPr="00C47020">
        <w:rPr>
          <w:rFonts w:ascii="Arial" w:hAnsi="Arial" w:cs="Arial"/>
          <w:color w:val="000000" w:themeColor="text1"/>
          <w:sz w:val="22"/>
          <w:szCs w:val="22"/>
        </w:rPr>
        <w:t>inanciera, estableci</w:t>
      </w:r>
      <w:r w:rsidR="007A04AE" w:rsidRPr="00C47020">
        <w:rPr>
          <w:rFonts w:ascii="Arial" w:hAnsi="Arial" w:cs="Arial"/>
          <w:color w:val="000000" w:themeColor="text1"/>
          <w:sz w:val="22"/>
          <w:szCs w:val="22"/>
        </w:rPr>
        <w:t>eron</w:t>
      </w:r>
      <w:r w:rsidRPr="00C47020">
        <w:rPr>
          <w:rFonts w:ascii="Arial" w:hAnsi="Arial" w:cs="Arial"/>
          <w:color w:val="000000" w:themeColor="text1"/>
          <w:sz w:val="22"/>
          <w:szCs w:val="22"/>
        </w:rPr>
        <w:t xml:space="preserve"> </w:t>
      </w:r>
      <w:r w:rsidR="00343538" w:rsidRPr="00C47020">
        <w:rPr>
          <w:rFonts w:ascii="Arial" w:hAnsi="Arial" w:cs="Arial"/>
          <w:color w:val="000000" w:themeColor="text1"/>
          <w:sz w:val="22"/>
          <w:szCs w:val="22"/>
        </w:rPr>
        <w:t xml:space="preserve">en el Plan de Acción del Proceso, </w:t>
      </w:r>
      <w:r w:rsidRPr="00C47020">
        <w:rPr>
          <w:rFonts w:ascii="Arial" w:hAnsi="Arial" w:cs="Arial"/>
          <w:color w:val="000000" w:themeColor="text1"/>
          <w:sz w:val="22"/>
          <w:szCs w:val="22"/>
        </w:rPr>
        <w:t>tres actividades representativas para realizar control y seguimiento, siendo las siguientes:</w:t>
      </w:r>
    </w:p>
    <w:p w:rsidR="007C07CE" w:rsidRPr="00612FF7" w:rsidRDefault="00D96E2B"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Seguimiento</w:t>
      </w:r>
      <w:r w:rsidR="00D61217">
        <w:rPr>
          <w:rFonts w:ascii="Arial" w:hAnsi="Arial" w:cs="Arial"/>
          <w:sz w:val="22"/>
          <w:szCs w:val="22"/>
        </w:rPr>
        <w:t xml:space="preserve"> </w:t>
      </w:r>
      <w:r w:rsidR="006B0648">
        <w:rPr>
          <w:rFonts w:ascii="Arial" w:hAnsi="Arial" w:cs="Arial"/>
          <w:sz w:val="22"/>
          <w:szCs w:val="22"/>
        </w:rPr>
        <w:t>E</w:t>
      </w:r>
      <w:r w:rsidR="007C07CE" w:rsidRPr="00612FF7">
        <w:rPr>
          <w:rFonts w:ascii="Arial" w:hAnsi="Arial" w:cs="Arial"/>
          <w:sz w:val="22"/>
          <w:szCs w:val="22"/>
        </w:rPr>
        <w:t xml:space="preserve">jecución </w:t>
      </w:r>
      <w:r w:rsidR="006B0648">
        <w:rPr>
          <w:rFonts w:ascii="Arial" w:hAnsi="Arial" w:cs="Arial"/>
          <w:sz w:val="22"/>
          <w:szCs w:val="22"/>
        </w:rPr>
        <w:t>P</w:t>
      </w:r>
      <w:r w:rsidR="007C07CE" w:rsidRPr="00612FF7">
        <w:rPr>
          <w:rFonts w:ascii="Arial" w:hAnsi="Arial" w:cs="Arial"/>
          <w:sz w:val="22"/>
          <w:szCs w:val="22"/>
        </w:rPr>
        <w:t>resupuestal</w:t>
      </w:r>
    </w:p>
    <w:p w:rsidR="007C07CE" w:rsidRPr="00612FF7" w:rsidRDefault="00D96E2B"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 xml:space="preserve">Seguimiento a la </w:t>
      </w:r>
      <w:r w:rsidR="006B0648">
        <w:rPr>
          <w:rFonts w:ascii="Arial" w:hAnsi="Arial" w:cs="Arial"/>
          <w:sz w:val="22"/>
          <w:szCs w:val="22"/>
        </w:rPr>
        <w:t>E</w:t>
      </w:r>
      <w:r w:rsidR="00612FF7" w:rsidRPr="00612FF7">
        <w:rPr>
          <w:rFonts w:ascii="Arial" w:hAnsi="Arial" w:cs="Arial"/>
          <w:sz w:val="22"/>
          <w:szCs w:val="22"/>
        </w:rPr>
        <w:t xml:space="preserve">jecución de los </w:t>
      </w:r>
      <w:r w:rsidR="006B0648">
        <w:rPr>
          <w:rFonts w:ascii="Arial" w:hAnsi="Arial" w:cs="Arial"/>
          <w:sz w:val="22"/>
          <w:szCs w:val="22"/>
        </w:rPr>
        <w:t>R</w:t>
      </w:r>
      <w:r w:rsidR="00612FF7" w:rsidRPr="00612FF7">
        <w:rPr>
          <w:rFonts w:ascii="Arial" w:hAnsi="Arial" w:cs="Arial"/>
          <w:sz w:val="22"/>
          <w:szCs w:val="22"/>
        </w:rPr>
        <w:t>ecursos</w:t>
      </w:r>
      <w:r w:rsidR="00695767">
        <w:rPr>
          <w:rFonts w:ascii="Arial" w:hAnsi="Arial" w:cs="Arial"/>
          <w:sz w:val="22"/>
          <w:szCs w:val="22"/>
        </w:rPr>
        <w:t xml:space="preserve"> </w:t>
      </w:r>
      <w:r w:rsidR="006B0648">
        <w:rPr>
          <w:rFonts w:ascii="Arial" w:hAnsi="Arial" w:cs="Arial"/>
          <w:sz w:val="22"/>
          <w:szCs w:val="22"/>
        </w:rPr>
        <w:t>F</w:t>
      </w:r>
      <w:r w:rsidR="00695767">
        <w:rPr>
          <w:rFonts w:ascii="Arial" w:hAnsi="Arial" w:cs="Arial"/>
          <w:sz w:val="22"/>
          <w:szCs w:val="22"/>
        </w:rPr>
        <w:t>inancieros</w:t>
      </w:r>
    </w:p>
    <w:p w:rsidR="00BE7F71" w:rsidRDefault="006B0648"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Presentación de E</w:t>
      </w:r>
      <w:r w:rsidR="00612FF7" w:rsidRPr="00612FF7">
        <w:rPr>
          <w:rFonts w:ascii="Arial" w:hAnsi="Arial" w:cs="Arial"/>
          <w:sz w:val="22"/>
          <w:szCs w:val="22"/>
        </w:rPr>
        <w:t>stados Financieros</w:t>
      </w:r>
    </w:p>
    <w:p w:rsidR="00302890" w:rsidRPr="00BE7F71" w:rsidRDefault="00302890"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Implementación Nuevo Marco Normativo</w:t>
      </w:r>
    </w:p>
    <w:p w:rsidR="006B0648" w:rsidRDefault="006B0648" w:rsidP="00CD17B2">
      <w:pPr>
        <w:spacing w:after="0" w:line="276" w:lineRule="auto"/>
        <w:jc w:val="both"/>
        <w:rPr>
          <w:rFonts w:ascii="Arial" w:hAnsi="Arial" w:cs="Arial"/>
          <w:sz w:val="22"/>
          <w:szCs w:val="22"/>
        </w:rPr>
      </w:pPr>
    </w:p>
    <w:p w:rsidR="00BE7F71" w:rsidRDefault="007C07CE" w:rsidP="00CD17B2">
      <w:pPr>
        <w:spacing w:after="0" w:line="276" w:lineRule="auto"/>
        <w:jc w:val="both"/>
        <w:rPr>
          <w:rFonts w:ascii="Arial" w:hAnsi="Arial" w:cs="Arial"/>
          <w:sz w:val="22"/>
          <w:szCs w:val="22"/>
        </w:rPr>
      </w:pPr>
      <w:r w:rsidRPr="00612FF7">
        <w:rPr>
          <w:rFonts w:ascii="Arial" w:hAnsi="Arial" w:cs="Arial"/>
          <w:sz w:val="22"/>
          <w:szCs w:val="22"/>
        </w:rPr>
        <w:t>El presente informe tiene como objetivo suministrar datos, hacer seguimiento y realizar análisis a cada uno de las actividades nombradas correspond</w:t>
      </w:r>
      <w:r w:rsidR="007A04AE">
        <w:rPr>
          <w:rFonts w:ascii="Arial" w:hAnsi="Arial" w:cs="Arial"/>
          <w:sz w:val="22"/>
          <w:szCs w:val="22"/>
        </w:rPr>
        <w:t>ientes al Plan de Acción de la S</w:t>
      </w:r>
      <w:r w:rsidRPr="00612FF7">
        <w:rPr>
          <w:rFonts w:ascii="Arial" w:hAnsi="Arial" w:cs="Arial"/>
          <w:sz w:val="22"/>
          <w:szCs w:val="22"/>
        </w:rPr>
        <w:t xml:space="preserve">ubdirección </w:t>
      </w:r>
      <w:r w:rsidR="007A04AE">
        <w:rPr>
          <w:rFonts w:ascii="Arial" w:hAnsi="Arial" w:cs="Arial"/>
          <w:sz w:val="22"/>
          <w:szCs w:val="22"/>
        </w:rPr>
        <w:t>F</w:t>
      </w:r>
      <w:r w:rsidRPr="00612FF7">
        <w:rPr>
          <w:rFonts w:ascii="Arial" w:hAnsi="Arial" w:cs="Arial"/>
          <w:sz w:val="22"/>
          <w:szCs w:val="22"/>
        </w:rPr>
        <w:t xml:space="preserve">inanciera del periodo </w:t>
      </w:r>
      <w:r w:rsidR="002637A3">
        <w:rPr>
          <w:rFonts w:ascii="Arial" w:hAnsi="Arial" w:cs="Arial"/>
          <w:sz w:val="22"/>
          <w:szCs w:val="22"/>
        </w:rPr>
        <w:t>1 enero a 31 de diciembre</w:t>
      </w:r>
      <w:r w:rsidRPr="00612FF7">
        <w:rPr>
          <w:rFonts w:ascii="Arial" w:hAnsi="Arial" w:cs="Arial"/>
          <w:sz w:val="22"/>
          <w:szCs w:val="22"/>
        </w:rPr>
        <w:t xml:space="preserve"> del </w:t>
      </w:r>
      <w:r w:rsidR="007A04AE">
        <w:rPr>
          <w:rFonts w:ascii="Arial" w:hAnsi="Arial" w:cs="Arial"/>
          <w:sz w:val="22"/>
          <w:szCs w:val="22"/>
        </w:rPr>
        <w:t>201</w:t>
      </w:r>
      <w:r w:rsidR="005F7B2F">
        <w:rPr>
          <w:rFonts w:ascii="Arial" w:hAnsi="Arial" w:cs="Arial"/>
          <w:sz w:val="22"/>
          <w:szCs w:val="22"/>
        </w:rPr>
        <w:t>8</w:t>
      </w:r>
      <w:r w:rsidR="007A04AE">
        <w:rPr>
          <w:rFonts w:ascii="Arial" w:hAnsi="Arial" w:cs="Arial"/>
          <w:sz w:val="22"/>
          <w:szCs w:val="22"/>
        </w:rPr>
        <w:t>.</w:t>
      </w:r>
      <w:r w:rsidR="00612FF7" w:rsidRPr="00612FF7">
        <w:rPr>
          <w:rFonts w:ascii="Arial" w:hAnsi="Arial" w:cs="Arial"/>
          <w:sz w:val="22"/>
          <w:szCs w:val="22"/>
        </w:rPr>
        <w:t xml:space="preserve"> </w:t>
      </w:r>
    </w:p>
    <w:p w:rsidR="00BE7F71" w:rsidRDefault="00BE7F71" w:rsidP="00CD17B2">
      <w:pPr>
        <w:spacing w:after="0" w:line="276" w:lineRule="auto"/>
        <w:jc w:val="both"/>
        <w:rPr>
          <w:rFonts w:ascii="Arial" w:hAnsi="Arial" w:cs="Arial"/>
          <w:sz w:val="22"/>
          <w:szCs w:val="22"/>
        </w:rPr>
      </w:pPr>
    </w:p>
    <w:p w:rsidR="00612FF7" w:rsidRPr="00612FF7" w:rsidRDefault="007A04AE" w:rsidP="00CD17B2">
      <w:pPr>
        <w:spacing w:after="0" w:line="276" w:lineRule="auto"/>
        <w:jc w:val="both"/>
        <w:rPr>
          <w:rFonts w:ascii="Arial" w:hAnsi="Arial" w:cs="Arial"/>
          <w:sz w:val="22"/>
          <w:szCs w:val="22"/>
          <w:lang w:val="es-MX"/>
        </w:rPr>
      </w:pPr>
      <w:r>
        <w:rPr>
          <w:rFonts w:ascii="Arial" w:hAnsi="Arial" w:cs="Arial"/>
          <w:sz w:val="22"/>
          <w:szCs w:val="22"/>
        </w:rPr>
        <w:t xml:space="preserve"> </w:t>
      </w:r>
    </w:p>
    <w:p w:rsidR="007C07CE" w:rsidRPr="00612FF7" w:rsidRDefault="00612FF7" w:rsidP="00CD17B2">
      <w:pPr>
        <w:spacing w:line="276" w:lineRule="auto"/>
        <w:jc w:val="both"/>
        <w:rPr>
          <w:rFonts w:ascii="Arial" w:hAnsi="Arial" w:cs="Arial"/>
          <w:sz w:val="22"/>
          <w:szCs w:val="22"/>
        </w:rPr>
      </w:pPr>
      <w:r w:rsidRPr="00612FF7">
        <w:rPr>
          <w:rFonts w:ascii="Arial" w:hAnsi="Arial" w:cs="Arial"/>
          <w:sz w:val="22"/>
          <w:szCs w:val="22"/>
        </w:rPr>
        <w:t xml:space="preserve"> </w:t>
      </w:r>
    </w:p>
    <w:p w:rsidR="007C07CE" w:rsidRDefault="007C07CE"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Pr="00612FF7" w:rsidRDefault="00CD17B2" w:rsidP="00CD17B2">
      <w:pPr>
        <w:pStyle w:val="Prrafodelista"/>
        <w:spacing w:line="276" w:lineRule="auto"/>
        <w:jc w:val="both"/>
        <w:rPr>
          <w:rFonts w:ascii="Arial" w:hAnsi="Arial" w:cs="Arial"/>
          <w:sz w:val="22"/>
          <w:szCs w:val="22"/>
        </w:rPr>
      </w:pPr>
    </w:p>
    <w:p w:rsidR="007C07CE" w:rsidRDefault="007C07CE" w:rsidP="00CD17B2">
      <w:pPr>
        <w:pStyle w:val="Prrafodelista"/>
        <w:spacing w:line="276" w:lineRule="auto"/>
        <w:jc w:val="both"/>
        <w:rPr>
          <w:rFonts w:ascii="Arial" w:hAnsi="Arial" w:cs="Arial"/>
          <w:sz w:val="22"/>
          <w:szCs w:val="22"/>
        </w:rPr>
      </w:pPr>
    </w:p>
    <w:p w:rsidR="002F58D3" w:rsidRDefault="002F58D3" w:rsidP="00CD17B2">
      <w:pPr>
        <w:pStyle w:val="Prrafodelista"/>
        <w:spacing w:line="276" w:lineRule="auto"/>
        <w:jc w:val="both"/>
        <w:rPr>
          <w:rFonts w:ascii="Arial" w:hAnsi="Arial" w:cs="Arial"/>
          <w:sz w:val="22"/>
          <w:szCs w:val="22"/>
        </w:rPr>
      </w:pPr>
    </w:p>
    <w:p w:rsidR="002F58D3" w:rsidRPr="00612FF7" w:rsidRDefault="002F58D3" w:rsidP="00CD17B2">
      <w:pPr>
        <w:pStyle w:val="Prrafodelista"/>
        <w:spacing w:line="276" w:lineRule="auto"/>
        <w:jc w:val="both"/>
        <w:rPr>
          <w:rFonts w:ascii="Arial" w:hAnsi="Arial" w:cs="Arial"/>
          <w:sz w:val="22"/>
          <w:szCs w:val="22"/>
        </w:rPr>
      </w:pPr>
    </w:p>
    <w:p w:rsidR="00612FF7" w:rsidRDefault="00612FF7" w:rsidP="002F58D3">
      <w:pPr>
        <w:spacing w:line="276" w:lineRule="auto"/>
        <w:jc w:val="center"/>
        <w:rPr>
          <w:rFonts w:ascii="Arial" w:hAnsi="Arial" w:cs="Arial"/>
          <w:b/>
          <w:sz w:val="22"/>
          <w:szCs w:val="22"/>
        </w:rPr>
      </w:pPr>
      <w:r w:rsidRPr="00612FF7">
        <w:rPr>
          <w:rFonts w:ascii="Arial" w:hAnsi="Arial" w:cs="Arial"/>
          <w:b/>
          <w:sz w:val="22"/>
          <w:szCs w:val="22"/>
        </w:rPr>
        <w:t>TABLA DE CONTENIDO</w:t>
      </w:r>
    </w:p>
    <w:p w:rsidR="005B4D69" w:rsidRDefault="005B4D69" w:rsidP="00CD17B2">
      <w:pPr>
        <w:spacing w:line="276" w:lineRule="auto"/>
        <w:rPr>
          <w:rFonts w:ascii="Arial" w:hAnsi="Arial" w:cs="Arial"/>
          <w:b/>
          <w:sz w:val="22"/>
          <w:szCs w:val="22"/>
        </w:rPr>
      </w:pPr>
    </w:p>
    <w:p w:rsidR="00612FF7" w:rsidRPr="005B4D69" w:rsidRDefault="007C4B31" w:rsidP="005B4D69">
      <w:pPr>
        <w:pStyle w:val="Prrafodelista"/>
        <w:numPr>
          <w:ilvl w:val="0"/>
          <w:numId w:val="9"/>
        </w:numPr>
        <w:spacing w:line="720" w:lineRule="auto"/>
        <w:jc w:val="both"/>
        <w:rPr>
          <w:rFonts w:ascii="Arial" w:hAnsi="Arial" w:cs="Arial"/>
          <w:b/>
          <w:sz w:val="22"/>
          <w:szCs w:val="22"/>
        </w:rPr>
      </w:pPr>
      <w:r w:rsidRPr="005B4D69">
        <w:rPr>
          <w:rFonts w:ascii="Arial" w:hAnsi="Arial" w:cs="Arial"/>
          <w:b/>
          <w:sz w:val="22"/>
          <w:szCs w:val="22"/>
        </w:rPr>
        <w:t>RESULTADOS DE LA GESTIÓN (ANÁLISIS DE DATOS)</w:t>
      </w:r>
    </w:p>
    <w:p w:rsidR="00612FF7" w:rsidRPr="00612FF7" w:rsidRDefault="00612FF7" w:rsidP="005B4D69">
      <w:pPr>
        <w:pStyle w:val="Prrafodelista"/>
        <w:numPr>
          <w:ilvl w:val="1"/>
          <w:numId w:val="9"/>
        </w:numPr>
        <w:spacing w:line="720" w:lineRule="auto"/>
        <w:jc w:val="both"/>
        <w:rPr>
          <w:rFonts w:ascii="Arial" w:hAnsi="Arial" w:cs="Arial"/>
          <w:sz w:val="22"/>
          <w:szCs w:val="22"/>
        </w:rPr>
      </w:pPr>
      <w:r w:rsidRPr="00612FF7">
        <w:rPr>
          <w:rFonts w:ascii="Arial" w:hAnsi="Arial" w:cs="Arial"/>
          <w:sz w:val="22"/>
          <w:szCs w:val="22"/>
        </w:rPr>
        <w:t xml:space="preserve">Análisis </w:t>
      </w:r>
      <w:r w:rsidR="007A04AE">
        <w:rPr>
          <w:rFonts w:ascii="Arial" w:hAnsi="Arial" w:cs="Arial"/>
          <w:sz w:val="22"/>
          <w:szCs w:val="22"/>
        </w:rPr>
        <w:t>Plan de A</w:t>
      </w:r>
      <w:r w:rsidRPr="00612FF7">
        <w:rPr>
          <w:rFonts w:ascii="Arial" w:hAnsi="Arial" w:cs="Arial"/>
          <w:sz w:val="22"/>
          <w:szCs w:val="22"/>
        </w:rPr>
        <w:t>cción</w:t>
      </w:r>
    </w:p>
    <w:p w:rsidR="00612FF7" w:rsidRDefault="00612FF7" w:rsidP="00575CA9">
      <w:pPr>
        <w:pStyle w:val="Prrafodelista"/>
        <w:numPr>
          <w:ilvl w:val="1"/>
          <w:numId w:val="9"/>
        </w:numPr>
        <w:spacing w:after="0" w:line="240" w:lineRule="auto"/>
        <w:jc w:val="both"/>
        <w:rPr>
          <w:rFonts w:ascii="Arial" w:hAnsi="Arial" w:cs="Arial"/>
          <w:sz w:val="22"/>
          <w:szCs w:val="22"/>
        </w:rPr>
      </w:pPr>
      <w:r w:rsidRPr="00612FF7">
        <w:rPr>
          <w:rFonts w:ascii="Arial" w:hAnsi="Arial" w:cs="Arial"/>
          <w:sz w:val="22"/>
          <w:szCs w:val="22"/>
        </w:rPr>
        <w:t>Otros resultados</w:t>
      </w:r>
    </w:p>
    <w:p w:rsidR="00575CA9" w:rsidRDefault="00575CA9" w:rsidP="00575CA9">
      <w:pPr>
        <w:pStyle w:val="Prrafodelista"/>
        <w:spacing w:after="0" w:line="240" w:lineRule="auto"/>
        <w:ind w:left="1080"/>
        <w:jc w:val="both"/>
        <w:rPr>
          <w:rFonts w:ascii="Arial" w:hAnsi="Arial" w:cs="Arial"/>
          <w:sz w:val="22"/>
          <w:szCs w:val="22"/>
        </w:rPr>
      </w:pPr>
    </w:p>
    <w:p w:rsidR="00575CA9" w:rsidRDefault="00575CA9" w:rsidP="00575CA9">
      <w:pPr>
        <w:pStyle w:val="Prrafodelista"/>
        <w:numPr>
          <w:ilvl w:val="2"/>
          <w:numId w:val="9"/>
        </w:numPr>
        <w:spacing w:after="0" w:line="240" w:lineRule="auto"/>
        <w:jc w:val="both"/>
        <w:rPr>
          <w:rFonts w:ascii="Arial" w:hAnsi="Arial" w:cs="Arial"/>
          <w:sz w:val="22"/>
          <w:szCs w:val="22"/>
        </w:rPr>
      </w:pPr>
      <w:r w:rsidRPr="00575CA9">
        <w:rPr>
          <w:rFonts w:ascii="Arial" w:hAnsi="Arial" w:cs="Arial"/>
          <w:sz w:val="22"/>
          <w:szCs w:val="22"/>
        </w:rPr>
        <w:t>Actividades que han contribuido al Cumplimiento del Plan Estratégico y que no han sido contemplados en el Plan de Acción.</w:t>
      </w:r>
    </w:p>
    <w:p w:rsidR="00575CA9" w:rsidRPr="00575CA9" w:rsidRDefault="00575CA9" w:rsidP="00575CA9">
      <w:pPr>
        <w:pStyle w:val="Prrafodelista"/>
        <w:spacing w:after="0" w:line="240" w:lineRule="auto"/>
        <w:ind w:left="1800"/>
        <w:jc w:val="both"/>
        <w:rPr>
          <w:rFonts w:ascii="Arial" w:hAnsi="Arial" w:cs="Arial"/>
          <w:sz w:val="22"/>
          <w:szCs w:val="22"/>
        </w:rPr>
      </w:pPr>
    </w:p>
    <w:p w:rsidR="00575CA9" w:rsidRDefault="008C3BEF" w:rsidP="00575CA9">
      <w:pPr>
        <w:pStyle w:val="Prrafodelista"/>
        <w:numPr>
          <w:ilvl w:val="2"/>
          <w:numId w:val="9"/>
        </w:numPr>
        <w:spacing w:after="0" w:line="240" w:lineRule="auto"/>
        <w:jc w:val="both"/>
        <w:rPr>
          <w:rFonts w:ascii="Arial" w:hAnsi="Arial" w:cs="Arial"/>
          <w:sz w:val="22"/>
          <w:szCs w:val="22"/>
        </w:rPr>
      </w:pPr>
      <w:r>
        <w:rPr>
          <w:rFonts w:ascii="Arial" w:hAnsi="Arial" w:cs="Arial"/>
          <w:sz w:val="22"/>
          <w:szCs w:val="22"/>
        </w:rPr>
        <w:t xml:space="preserve">Seguimiento al </w:t>
      </w:r>
      <w:r w:rsidR="00575CA9" w:rsidRPr="00575CA9">
        <w:rPr>
          <w:rFonts w:ascii="Arial" w:hAnsi="Arial" w:cs="Arial"/>
          <w:sz w:val="22"/>
          <w:szCs w:val="22"/>
        </w:rPr>
        <w:t xml:space="preserve">Nuevo Marco Normativo Contable </w:t>
      </w:r>
      <w:r>
        <w:rPr>
          <w:rFonts w:ascii="Arial" w:hAnsi="Arial" w:cs="Arial"/>
          <w:sz w:val="22"/>
          <w:szCs w:val="22"/>
        </w:rPr>
        <w:t>- NMNC</w:t>
      </w:r>
      <w:r w:rsidR="00575CA9" w:rsidRPr="00575CA9">
        <w:rPr>
          <w:rFonts w:ascii="Arial" w:hAnsi="Arial" w:cs="Arial"/>
          <w:sz w:val="22"/>
          <w:szCs w:val="22"/>
        </w:rPr>
        <w:t>.</w:t>
      </w:r>
    </w:p>
    <w:p w:rsidR="00575CA9" w:rsidRPr="00575CA9" w:rsidRDefault="00575CA9" w:rsidP="00575CA9">
      <w:pPr>
        <w:pStyle w:val="Prrafodelista"/>
        <w:spacing w:after="0" w:line="240" w:lineRule="auto"/>
        <w:ind w:left="1800"/>
        <w:jc w:val="both"/>
        <w:rPr>
          <w:rFonts w:ascii="Arial" w:hAnsi="Arial" w:cs="Arial"/>
          <w:sz w:val="22"/>
          <w:szCs w:val="22"/>
        </w:rPr>
      </w:pPr>
    </w:p>
    <w:p w:rsidR="00BE7F71" w:rsidRDefault="00BE7F71" w:rsidP="00CD17B2">
      <w:pPr>
        <w:spacing w:line="276" w:lineRule="auto"/>
        <w:jc w:val="center"/>
        <w:rPr>
          <w:rFonts w:ascii="Arial" w:hAnsi="Arial" w:cs="Arial"/>
        </w:rPr>
      </w:pPr>
    </w:p>
    <w:p w:rsidR="00BE7F71" w:rsidRDefault="00BE7F71" w:rsidP="00CD17B2">
      <w:pPr>
        <w:spacing w:line="276" w:lineRule="auto"/>
        <w:jc w:val="center"/>
        <w:rPr>
          <w:rFonts w:ascii="Arial" w:hAnsi="Arial" w:cs="Arial"/>
        </w:rPr>
      </w:pPr>
    </w:p>
    <w:p w:rsidR="00BE7F71" w:rsidRPr="002E7030" w:rsidRDefault="007C4B31" w:rsidP="002E7030">
      <w:pPr>
        <w:pStyle w:val="Prrafodelista"/>
        <w:numPr>
          <w:ilvl w:val="0"/>
          <w:numId w:val="22"/>
        </w:numPr>
        <w:spacing w:line="276" w:lineRule="auto"/>
        <w:jc w:val="both"/>
        <w:rPr>
          <w:rFonts w:ascii="Arial" w:hAnsi="Arial" w:cs="Arial"/>
          <w:b/>
          <w:sz w:val="22"/>
          <w:szCs w:val="22"/>
        </w:rPr>
      </w:pPr>
      <w:r w:rsidRPr="002E7030">
        <w:rPr>
          <w:rFonts w:ascii="Arial" w:hAnsi="Arial" w:cs="Arial"/>
          <w:b/>
          <w:sz w:val="22"/>
          <w:szCs w:val="22"/>
        </w:rPr>
        <w:t>RESULTADOS DE LA GESTIÓN</w:t>
      </w:r>
    </w:p>
    <w:p w:rsidR="004F7CCD" w:rsidRDefault="004F7CCD" w:rsidP="00CD17B2">
      <w:pPr>
        <w:pStyle w:val="Prrafodelista"/>
        <w:spacing w:line="276" w:lineRule="auto"/>
        <w:jc w:val="both"/>
        <w:rPr>
          <w:rFonts w:ascii="Arial" w:hAnsi="Arial" w:cs="Arial"/>
          <w:b/>
          <w:sz w:val="22"/>
          <w:szCs w:val="22"/>
        </w:rPr>
      </w:pPr>
    </w:p>
    <w:p w:rsidR="00061448" w:rsidRDefault="00E7463C" w:rsidP="005347D1">
      <w:pPr>
        <w:spacing w:line="276" w:lineRule="auto"/>
        <w:jc w:val="both"/>
        <w:rPr>
          <w:rFonts w:ascii="Arial" w:hAnsi="Arial" w:cs="Arial"/>
          <w:sz w:val="22"/>
          <w:szCs w:val="22"/>
        </w:rPr>
      </w:pPr>
      <w:r w:rsidRPr="004F7CCD">
        <w:rPr>
          <w:rFonts w:ascii="Arial" w:hAnsi="Arial" w:cs="Arial"/>
          <w:sz w:val="22"/>
          <w:szCs w:val="22"/>
        </w:rPr>
        <w:t xml:space="preserve">Mediante </w:t>
      </w:r>
      <w:r w:rsidR="00A239E9">
        <w:rPr>
          <w:rFonts w:ascii="Arial" w:hAnsi="Arial" w:cs="Arial"/>
          <w:sz w:val="22"/>
          <w:szCs w:val="22"/>
        </w:rPr>
        <w:t>D</w:t>
      </w:r>
      <w:r w:rsidR="00981792">
        <w:rPr>
          <w:rFonts w:ascii="Arial" w:hAnsi="Arial" w:cs="Arial"/>
          <w:sz w:val="22"/>
          <w:szCs w:val="22"/>
        </w:rPr>
        <w:t>ecreto 816</w:t>
      </w:r>
      <w:r w:rsidR="00054655">
        <w:rPr>
          <w:rFonts w:ascii="Arial" w:hAnsi="Arial" w:cs="Arial"/>
          <w:sz w:val="22"/>
          <w:szCs w:val="22"/>
        </w:rPr>
        <w:t xml:space="preserve"> de </w:t>
      </w:r>
      <w:r w:rsidR="00981792">
        <w:rPr>
          <w:rFonts w:ascii="Arial" w:hAnsi="Arial" w:cs="Arial"/>
          <w:sz w:val="22"/>
          <w:szCs w:val="22"/>
        </w:rPr>
        <w:t>diciembre 23</w:t>
      </w:r>
      <w:r w:rsidR="00595D78">
        <w:rPr>
          <w:rFonts w:ascii="Arial" w:hAnsi="Arial" w:cs="Arial"/>
          <w:sz w:val="22"/>
          <w:szCs w:val="22"/>
        </w:rPr>
        <w:t xml:space="preserve"> </w:t>
      </w:r>
      <w:r w:rsidR="00981792">
        <w:rPr>
          <w:rFonts w:ascii="Arial" w:hAnsi="Arial" w:cs="Arial"/>
          <w:sz w:val="22"/>
          <w:szCs w:val="22"/>
        </w:rPr>
        <w:t>de 2017</w:t>
      </w:r>
      <w:r w:rsidRPr="004F7CCD">
        <w:rPr>
          <w:rFonts w:ascii="Arial" w:hAnsi="Arial" w:cs="Arial"/>
          <w:sz w:val="22"/>
          <w:szCs w:val="22"/>
        </w:rPr>
        <w:t xml:space="preserve"> </w:t>
      </w:r>
      <w:r w:rsidRPr="006232B5">
        <w:rPr>
          <w:rFonts w:ascii="Arial" w:hAnsi="Arial" w:cs="Arial"/>
          <w:szCs w:val="22"/>
        </w:rPr>
        <w:t>"</w:t>
      </w:r>
      <w:r w:rsidR="00A239E9" w:rsidRPr="00A8420F">
        <w:rPr>
          <w:rFonts w:ascii="Arial" w:hAnsi="Arial" w:cs="Arial"/>
          <w:sz w:val="22"/>
          <w:szCs w:val="22"/>
        </w:rPr>
        <w:t>Por el cual se liquida el Presupuesto Anual de Rentas e Ingresos y de Gastos e Inversiones de Bogotá, Distrito Capital, para la vigencia fiscal compren</w:t>
      </w:r>
      <w:r w:rsidR="00595D78" w:rsidRPr="00A8420F">
        <w:rPr>
          <w:rFonts w:ascii="Arial" w:hAnsi="Arial" w:cs="Arial"/>
          <w:sz w:val="22"/>
          <w:szCs w:val="22"/>
        </w:rPr>
        <w:t>dida entre el 1 de enero y el 31 de diciembre</w:t>
      </w:r>
      <w:r w:rsidR="005F7B2F">
        <w:rPr>
          <w:rFonts w:ascii="Arial" w:hAnsi="Arial" w:cs="Arial"/>
          <w:sz w:val="22"/>
          <w:szCs w:val="22"/>
        </w:rPr>
        <w:t xml:space="preserve"> de 2018</w:t>
      </w:r>
      <w:r w:rsidR="00A239E9" w:rsidRPr="00A8420F">
        <w:rPr>
          <w:rFonts w:ascii="Arial" w:hAnsi="Arial" w:cs="Arial"/>
          <w:sz w:val="22"/>
          <w:szCs w:val="22"/>
        </w:rPr>
        <w:t xml:space="preserve"> y se dictan otras disposicio</w:t>
      </w:r>
      <w:r w:rsidR="00054655" w:rsidRPr="00A8420F">
        <w:rPr>
          <w:rFonts w:ascii="Arial" w:hAnsi="Arial" w:cs="Arial"/>
          <w:sz w:val="22"/>
          <w:szCs w:val="22"/>
        </w:rPr>
        <w:t xml:space="preserve">nes, en </w:t>
      </w:r>
      <w:r w:rsidR="00981792">
        <w:rPr>
          <w:rFonts w:ascii="Arial" w:hAnsi="Arial" w:cs="Arial"/>
          <w:sz w:val="22"/>
          <w:szCs w:val="22"/>
        </w:rPr>
        <w:t>cumplimiento del Acuerdo  No.694 de diciembre 28 de 2017</w:t>
      </w:r>
      <w:r w:rsidR="00A239E9" w:rsidRPr="00A8420F">
        <w:rPr>
          <w:rFonts w:ascii="Arial" w:hAnsi="Arial" w:cs="Arial"/>
          <w:sz w:val="22"/>
          <w:szCs w:val="22"/>
        </w:rPr>
        <w:t xml:space="preserve"> e</w:t>
      </w:r>
      <w:r w:rsidR="00595D78" w:rsidRPr="00A8420F">
        <w:rPr>
          <w:rFonts w:ascii="Arial" w:hAnsi="Arial" w:cs="Arial"/>
          <w:sz w:val="22"/>
          <w:szCs w:val="22"/>
        </w:rPr>
        <w:t>xpedido por el Alcalde Mayor de Bogotá, Distrito Capital</w:t>
      </w:r>
      <w:r w:rsidRPr="00A8420F">
        <w:rPr>
          <w:rFonts w:ascii="Arial" w:hAnsi="Arial" w:cs="Arial"/>
          <w:sz w:val="22"/>
          <w:szCs w:val="22"/>
        </w:rPr>
        <w:t>"</w:t>
      </w:r>
      <w:r w:rsidR="00A239E9">
        <w:rPr>
          <w:rFonts w:ascii="Arial" w:hAnsi="Arial" w:cs="Arial"/>
          <w:sz w:val="22"/>
          <w:szCs w:val="22"/>
        </w:rPr>
        <w:t>, s</w:t>
      </w:r>
      <w:r w:rsidRPr="00A239E9">
        <w:rPr>
          <w:rFonts w:ascii="Arial" w:hAnsi="Arial" w:cs="Arial"/>
          <w:sz w:val="22"/>
          <w:szCs w:val="22"/>
        </w:rPr>
        <w:t xml:space="preserve">e </w:t>
      </w:r>
      <w:r w:rsidR="00C332FD">
        <w:rPr>
          <w:rFonts w:ascii="Arial" w:hAnsi="Arial" w:cs="Arial"/>
          <w:sz w:val="22"/>
          <w:szCs w:val="22"/>
        </w:rPr>
        <w:t>fijó el Presupuesto Anual de Gastos e Inversiones de l</w:t>
      </w:r>
      <w:r w:rsidR="00A239E9">
        <w:rPr>
          <w:rFonts w:ascii="Arial" w:hAnsi="Arial" w:cs="Arial"/>
          <w:sz w:val="22"/>
          <w:szCs w:val="22"/>
        </w:rPr>
        <w:t xml:space="preserve">a Contraloría de Bogotá </w:t>
      </w:r>
      <w:r w:rsidRPr="00A239E9">
        <w:rPr>
          <w:rFonts w:ascii="Arial" w:hAnsi="Arial" w:cs="Arial"/>
          <w:sz w:val="22"/>
          <w:szCs w:val="22"/>
        </w:rPr>
        <w:t>para la vigencia fiscal</w:t>
      </w:r>
      <w:r w:rsidR="00350E41" w:rsidRPr="00A239E9">
        <w:rPr>
          <w:rFonts w:ascii="Arial" w:hAnsi="Arial" w:cs="Arial"/>
          <w:sz w:val="22"/>
          <w:szCs w:val="22"/>
        </w:rPr>
        <w:t xml:space="preserve"> 20</w:t>
      </w:r>
      <w:r w:rsidR="005F7B2F">
        <w:rPr>
          <w:rFonts w:ascii="Arial" w:hAnsi="Arial" w:cs="Arial"/>
          <w:sz w:val="22"/>
          <w:szCs w:val="22"/>
        </w:rPr>
        <w:t>18</w:t>
      </w:r>
      <w:r w:rsidR="006232B5">
        <w:rPr>
          <w:rFonts w:ascii="Arial" w:hAnsi="Arial" w:cs="Arial"/>
          <w:sz w:val="22"/>
          <w:szCs w:val="22"/>
        </w:rPr>
        <w:t xml:space="preserve">. Para la Unidad Ejecutora </w:t>
      </w:r>
      <w:r w:rsidR="005347D1">
        <w:rPr>
          <w:rFonts w:ascii="Arial" w:hAnsi="Arial" w:cs="Arial"/>
          <w:sz w:val="22"/>
          <w:szCs w:val="22"/>
        </w:rPr>
        <w:t>0</w:t>
      </w:r>
      <w:r w:rsidR="006232B5">
        <w:rPr>
          <w:rFonts w:ascii="Arial" w:hAnsi="Arial" w:cs="Arial"/>
          <w:sz w:val="22"/>
          <w:szCs w:val="22"/>
        </w:rPr>
        <w:t xml:space="preserve">1 </w:t>
      </w:r>
      <w:r w:rsidR="001463D0">
        <w:rPr>
          <w:rFonts w:ascii="Arial" w:hAnsi="Arial" w:cs="Arial"/>
          <w:sz w:val="22"/>
          <w:szCs w:val="22"/>
        </w:rPr>
        <w:t>Ciento Cuarenta y Nueve Mil Seiscientos doce</w:t>
      </w:r>
      <w:r w:rsidR="00ED48C6">
        <w:rPr>
          <w:rFonts w:ascii="Arial" w:hAnsi="Arial" w:cs="Arial"/>
          <w:sz w:val="22"/>
          <w:szCs w:val="22"/>
        </w:rPr>
        <w:t xml:space="preserve"> Millones </w:t>
      </w:r>
      <w:r w:rsidR="001463D0">
        <w:rPr>
          <w:rFonts w:ascii="Arial" w:hAnsi="Arial" w:cs="Arial"/>
          <w:sz w:val="22"/>
          <w:szCs w:val="22"/>
        </w:rPr>
        <w:t>novecientos ochenta y nueve</w:t>
      </w:r>
      <w:r w:rsidR="00ED48C6">
        <w:rPr>
          <w:rFonts w:ascii="Arial" w:hAnsi="Arial" w:cs="Arial"/>
          <w:sz w:val="22"/>
          <w:szCs w:val="22"/>
        </w:rPr>
        <w:t xml:space="preserve"> Mil Pesos M/Cte. (</w:t>
      </w:r>
      <w:r w:rsidR="001463D0">
        <w:rPr>
          <w:rFonts w:ascii="Arial" w:hAnsi="Arial" w:cs="Arial"/>
          <w:sz w:val="22"/>
          <w:szCs w:val="22"/>
        </w:rPr>
        <w:t>$149.612.989</w:t>
      </w:r>
      <w:r w:rsidR="00B110B0">
        <w:rPr>
          <w:rFonts w:ascii="Arial" w:hAnsi="Arial" w:cs="Arial"/>
          <w:sz w:val="22"/>
          <w:szCs w:val="22"/>
        </w:rPr>
        <w:t>.000</w:t>
      </w:r>
      <w:r w:rsidR="00ED48C6">
        <w:rPr>
          <w:rFonts w:ascii="Arial" w:hAnsi="Arial" w:cs="Arial"/>
          <w:sz w:val="22"/>
          <w:szCs w:val="22"/>
        </w:rPr>
        <w:t>)</w:t>
      </w:r>
      <w:r w:rsidR="006232B5">
        <w:rPr>
          <w:rFonts w:ascii="Arial" w:hAnsi="Arial" w:cs="Arial"/>
          <w:sz w:val="22"/>
          <w:szCs w:val="22"/>
        </w:rPr>
        <w:t xml:space="preserve"> y para la Unidad Ejecutora </w:t>
      </w:r>
      <w:r w:rsidR="005347D1">
        <w:rPr>
          <w:rFonts w:ascii="Arial" w:hAnsi="Arial" w:cs="Arial"/>
          <w:sz w:val="22"/>
          <w:szCs w:val="22"/>
        </w:rPr>
        <w:t>0</w:t>
      </w:r>
      <w:r w:rsidR="006232B5">
        <w:rPr>
          <w:rFonts w:ascii="Arial" w:hAnsi="Arial" w:cs="Arial"/>
          <w:sz w:val="22"/>
          <w:szCs w:val="22"/>
        </w:rPr>
        <w:t xml:space="preserve">2 </w:t>
      </w:r>
      <w:r w:rsidR="00BC12F9">
        <w:rPr>
          <w:rFonts w:ascii="Arial" w:hAnsi="Arial" w:cs="Arial"/>
          <w:sz w:val="22"/>
          <w:szCs w:val="22"/>
        </w:rPr>
        <w:t>Trescientos Cuarenta y nueve Millones ochenta</w:t>
      </w:r>
      <w:r w:rsidR="00ED48C6">
        <w:rPr>
          <w:rFonts w:ascii="Arial" w:hAnsi="Arial" w:cs="Arial"/>
          <w:sz w:val="22"/>
          <w:szCs w:val="22"/>
        </w:rPr>
        <w:t xml:space="preserve"> Mil Pesos M/Cte. (</w:t>
      </w:r>
      <w:r w:rsidR="001463D0">
        <w:rPr>
          <w:rFonts w:ascii="Arial" w:hAnsi="Arial" w:cs="Arial"/>
          <w:sz w:val="22"/>
          <w:szCs w:val="22"/>
        </w:rPr>
        <w:t>$349.080</w:t>
      </w:r>
      <w:r w:rsidR="006232B5">
        <w:rPr>
          <w:rFonts w:ascii="Arial" w:hAnsi="Arial" w:cs="Arial"/>
          <w:sz w:val="22"/>
          <w:szCs w:val="22"/>
        </w:rPr>
        <w:t>.000</w:t>
      </w:r>
      <w:r w:rsidR="00ED48C6">
        <w:rPr>
          <w:rFonts w:ascii="Arial" w:hAnsi="Arial" w:cs="Arial"/>
          <w:sz w:val="22"/>
          <w:szCs w:val="22"/>
        </w:rPr>
        <w:t>)</w:t>
      </w:r>
      <w:r w:rsidR="006232B5">
        <w:rPr>
          <w:rFonts w:ascii="Arial" w:hAnsi="Arial" w:cs="Arial"/>
          <w:sz w:val="22"/>
          <w:szCs w:val="22"/>
        </w:rPr>
        <w:t xml:space="preserve">, para un total de </w:t>
      </w:r>
      <w:r w:rsidR="00BC12F9">
        <w:rPr>
          <w:rFonts w:ascii="Arial" w:hAnsi="Arial" w:cs="Arial"/>
          <w:sz w:val="22"/>
          <w:szCs w:val="22"/>
        </w:rPr>
        <w:t>Ciento Cuarenta y Nueve</w:t>
      </w:r>
      <w:r w:rsidR="00B110B0">
        <w:rPr>
          <w:rFonts w:ascii="Arial" w:hAnsi="Arial" w:cs="Arial"/>
          <w:sz w:val="22"/>
          <w:szCs w:val="22"/>
        </w:rPr>
        <w:t xml:space="preserve"> Mil Novecientos sesenta y dos Millones Sesenta y Nueve Mil</w:t>
      </w:r>
      <w:r w:rsidR="00ED48C6">
        <w:rPr>
          <w:rFonts w:ascii="Arial" w:hAnsi="Arial" w:cs="Arial"/>
          <w:sz w:val="22"/>
          <w:szCs w:val="22"/>
        </w:rPr>
        <w:t xml:space="preserve"> Pesos M/Cte. (</w:t>
      </w:r>
      <w:r w:rsidR="00BC12F9">
        <w:rPr>
          <w:rFonts w:ascii="Arial" w:hAnsi="Arial" w:cs="Arial"/>
          <w:sz w:val="22"/>
          <w:szCs w:val="22"/>
        </w:rPr>
        <w:t>$149.</w:t>
      </w:r>
      <w:r w:rsidR="00B110B0">
        <w:rPr>
          <w:rFonts w:ascii="Arial" w:hAnsi="Arial" w:cs="Arial"/>
          <w:sz w:val="22"/>
          <w:szCs w:val="22"/>
        </w:rPr>
        <w:t>962</w:t>
      </w:r>
      <w:r w:rsidR="006232B5">
        <w:rPr>
          <w:rFonts w:ascii="Arial" w:hAnsi="Arial" w:cs="Arial"/>
          <w:sz w:val="22"/>
          <w:szCs w:val="22"/>
        </w:rPr>
        <w:t>.</w:t>
      </w:r>
      <w:r w:rsidR="00B110B0">
        <w:rPr>
          <w:rFonts w:ascii="Arial" w:hAnsi="Arial" w:cs="Arial"/>
          <w:sz w:val="22"/>
          <w:szCs w:val="22"/>
        </w:rPr>
        <w:t>069.</w:t>
      </w:r>
      <w:r w:rsidR="006232B5">
        <w:rPr>
          <w:rFonts w:ascii="Arial" w:hAnsi="Arial" w:cs="Arial"/>
          <w:sz w:val="22"/>
          <w:szCs w:val="22"/>
        </w:rPr>
        <w:t>000</w:t>
      </w:r>
      <w:r w:rsidR="00ED48C6">
        <w:rPr>
          <w:rFonts w:ascii="Arial" w:hAnsi="Arial" w:cs="Arial"/>
          <w:sz w:val="22"/>
          <w:szCs w:val="22"/>
        </w:rPr>
        <w:t>)</w:t>
      </w:r>
      <w:r w:rsidR="006232B5">
        <w:rPr>
          <w:rFonts w:ascii="Arial" w:hAnsi="Arial" w:cs="Arial"/>
          <w:sz w:val="22"/>
          <w:szCs w:val="22"/>
        </w:rPr>
        <w:t>.</w:t>
      </w:r>
    </w:p>
    <w:p w:rsidR="00BB7E3F" w:rsidRDefault="00BB7E3F" w:rsidP="005347D1">
      <w:pPr>
        <w:spacing w:line="276" w:lineRule="auto"/>
        <w:jc w:val="both"/>
        <w:rPr>
          <w:rFonts w:ascii="Arial" w:hAnsi="Arial" w:cs="Arial"/>
          <w:sz w:val="22"/>
          <w:szCs w:val="22"/>
        </w:rPr>
      </w:pPr>
      <w:r>
        <w:rPr>
          <w:rFonts w:ascii="Arial" w:hAnsi="Arial" w:cs="Arial"/>
          <w:sz w:val="22"/>
          <w:szCs w:val="22"/>
        </w:rPr>
        <w:t>No obstante lo anterior en el mes de septiembre del 2018 mediante decreto se realizó una reducción al presupuesto por va</w:t>
      </w:r>
      <w:r w:rsidR="008C3BEF">
        <w:rPr>
          <w:rFonts w:ascii="Arial" w:hAnsi="Arial" w:cs="Arial"/>
          <w:sz w:val="22"/>
          <w:szCs w:val="22"/>
        </w:rPr>
        <w:t>lor de $ 1.509.503.000</w:t>
      </w:r>
      <w:r>
        <w:rPr>
          <w:rFonts w:ascii="Arial" w:hAnsi="Arial" w:cs="Arial"/>
          <w:sz w:val="22"/>
          <w:szCs w:val="22"/>
        </w:rPr>
        <w:t xml:space="preserve"> en este sentido el presu</w:t>
      </w:r>
      <w:r w:rsidR="008C3BEF">
        <w:rPr>
          <w:rFonts w:ascii="Arial" w:hAnsi="Arial" w:cs="Arial"/>
          <w:sz w:val="22"/>
          <w:szCs w:val="22"/>
        </w:rPr>
        <w:t xml:space="preserve">puesto de la vigencia 2018 quedo </w:t>
      </w:r>
      <w:r w:rsidR="00FF6998">
        <w:rPr>
          <w:rFonts w:ascii="Arial" w:hAnsi="Arial" w:cs="Arial"/>
          <w:sz w:val="22"/>
          <w:szCs w:val="22"/>
        </w:rPr>
        <w:t>en $</w:t>
      </w:r>
      <w:r>
        <w:rPr>
          <w:rFonts w:ascii="Arial" w:hAnsi="Arial" w:cs="Arial"/>
          <w:sz w:val="22"/>
          <w:szCs w:val="22"/>
        </w:rPr>
        <w:t xml:space="preserve"> 148.103.486.000 </w:t>
      </w:r>
    </w:p>
    <w:p w:rsidR="00FF6998" w:rsidRDefault="00FF6998" w:rsidP="00FF6998">
      <w:pPr>
        <w:pStyle w:val="CUERPO1"/>
        <w:spacing w:after="0" w:line="276" w:lineRule="auto"/>
        <w:rPr>
          <w:color w:val="000000" w:themeColor="text1"/>
          <w:sz w:val="22"/>
          <w:szCs w:val="22"/>
        </w:rPr>
      </w:pPr>
      <w:r>
        <w:rPr>
          <w:sz w:val="22"/>
          <w:szCs w:val="22"/>
        </w:rPr>
        <w:t>El</w:t>
      </w:r>
      <w:r w:rsidRPr="004F7CCD">
        <w:rPr>
          <w:sz w:val="22"/>
          <w:szCs w:val="22"/>
        </w:rPr>
        <w:t xml:space="preserve"> presupuesto es</w:t>
      </w:r>
      <w:r>
        <w:rPr>
          <w:sz w:val="22"/>
          <w:szCs w:val="22"/>
        </w:rPr>
        <w:t>tá</w:t>
      </w:r>
      <w:r w:rsidRPr="004F7CCD">
        <w:rPr>
          <w:sz w:val="22"/>
          <w:szCs w:val="22"/>
        </w:rPr>
        <w:t xml:space="preserve"> distribuido en las dos unidades ejecutoras de la Entidad </w:t>
      </w:r>
      <w:r w:rsidRPr="00CB33D5">
        <w:rPr>
          <w:sz w:val="22"/>
          <w:szCs w:val="22"/>
        </w:rPr>
        <w:t xml:space="preserve">en cumplimiento al Acuerdo </w:t>
      </w:r>
      <w:r>
        <w:rPr>
          <w:sz w:val="22"/>
          <w:szCs w:val="22"/>
        </w:rPr>
        <w:t>694</w:t>
      </w:r>
      <w:r w:rsidRPr="00CB33D5">
        <w:rPr>
          <w:sz w:val="22"/>
          <w:szCs w:val="22"/>
        </w:rPr>
        <w:t xml:space="preserve"> </w:t>
      </w:r>
      <w:r>
        <w:rPr>
          <w:sz w:val="22"/>
          <w:szCs w:val="22"/>
        </w:rPr>
        <w:t>de diciembre 28 de 2017</w:t>
      </w:r>
      <w:r w:rsidRPr="004F7CCD">
        <w:rPr>
          <w:sz w:val="22"/>
          <w:szCs w:val="22"/>
        </w:rPr>
        <w:t xml:space="preserve"> </w:t>
      </w:r>
      <w:r w:rsidRPr="00CB33D5">
        <w:rPr>
          <w:sz w:val="22"/>
          <w:szCs w:val="22"/>
        </w:rPr>
        <w:t>del Concejo de Bogotá</w:t>
      </w:r>
      <w:r w:rsidRPr="00C47020">
        <w:rPr>
          <w:color w:val="000000" w:themeColor="text1"/>
          <w:sz w:val="22"/>
          <w:szCs w:val="22"/>
        </w:rPr>
        <w:t xml:space="preserve">, D.C.,  </w:t>
      </w:r>
      <w:r>
        <w:rPr>
          <w:sz w:val="22"/>
          <w:szCs w:val="22"/>
        </w:rPr>
        <w:t xml:space="preserve">la </w:t>
      </w:r>
      <w:r w:rsidRPr="004F7CCD">
        <w:rPr>
          <w:sz w:val="22"/>
          <w:szCs w:val="22"/>
        </w:rPr>
        <w:t xml:space="preserve">Unidad </w:t>
      </w:r>
      <w:r>
        <w:rPr>
          <w:sz w:val="22"/>
          <w:szCs w:val="22"/>
        </w:rPr>
        <w:t>E</w:t>
      </w:r>
      <w:r w:rsidRPr="004F7CCD">
        <w:rPr>
          <w:sz w:val="22"/>
          <w:szCs w:val="22"/>
        </w:rPr>
        <w:t xml:space="preserve">jecutora </w:t>
      </w:r>
      <w:r>
        <w:rPr>
          <w:sz w:val="22"/>
          <w:szCs w:val="22"/>
        </w:rPr>
        <w:t>01</w:t>
      </w:r>
      <w:r w:rsidRPr="004F7CCD">
        <w:rPr>
          <w:sz w:val="22"/>
          <w:szCs w:val="22"/>
        </w:rPr>
        <w:t xml:space="preserve"> - </w:t>
      </w:r>
      <w:r w:rsidRPr="00CB33D5">
        <w:rPr>
          <w:sz w:val="22"/>
          <w:szCs w:val="22"/>
        </w:rPr>
        <w:t xml:space="preserve">Contraloría de Bogotá </w:t>
      </w:r>
      <w:r>
        <w:rPr>
          <w:sz w:val="22"/>
          <w:szCs w:val="22"/>
        </w:rPr>
        <w:t xml:space="preserve">D.C. </w:t>
      </w:r>
      <w:r w:rsidRPr="00CB33D5">
        <w:rPr>
          <w:sz w:val="22"/>
          <w:szCs w:val="22"/>
        </w:rPr>
        <w:t>y Unidad Ejecutora 02 - Auditoria Fiscal ante la Contraloría de Bogotá</w:t>
      </w:r>
      <w:r>
        <w:rPr>
          <w:sz w:val="22"/>
          <w:szCs w:val="22"/>
        </w:rPr>
        <w:t xml:space="preserve"> D.C.</w:t>
      </w:r>
      <w:r w:rsidRPr="00383CC3">
        <w:rPr>
          <w:sz w:val="22"/>
          <w:szCs w:val="22"/>
        </w:rPr>
        <w:t xml:space="preserve">, a la Unidad No 2 le fueron asignados rubros de gastos generales, por cuanto los gastos de servicios asociados a la nómina y parafiscales de la </w:t>
      </w:r>
      <w:r w:rsidRPr="00383CC3">
        <w:rPr>
          <w:sz w:val="22"/>
          <w:szCs w:val="22"/>
        </w:rPr>
        <w:lastRenderedPageBreak/>
        <w:t xml:space="preserve">planta de personal de la Auditoria Fiscal son atendidos a través de la Unidad Ejecutora No 1. </w:t>
      </w:r>
      <w:r w:rsidRPr="00C47020">
        <w:rPr>
          <w:color w:val="000000" w:themeColor="text1"/>
          <w:sz w:val="22"/>
          <w:szCs w:val="22"/>
        </w:rPr>
        <w:t>Tal como se relaciona en el siguiente cuadro:</w:t>
      </w:r>
    </w:p>
    <w:p w:rsidR="00FF6998" w:rsidRPr="005B4CF4" w:rsidRDefault="00FF6998" w:rsidP="00FF6998">
      <w:pPr>
        <w:pStyle w:val="CUERPO1"/>
        <w:spacing w:after="0" w:line="276" w:lineRule="auto"/>
        <w:rPr>
          <w:sz w:val="22"/>
          <w:szCs w:val="22"/>
        </w:rPr>
      </w:pPr>
    </w:p>
    <w:p w:rsidR="00FF6998" w:rsidRPr="007266E5" w:rsidRDefault="00FF6998" w:rsidP="00FF6998">
      <w:pPr>
        <w:pStyle w:val="CUERPO1"/>
        <w:spacing w:after="0" w:line="276" w:lineRule="auto"/>
        <w:jc w:val="center"/>
        <w:rPr>
          <w:b/>
          <w:sz w:val="18"/>
          <w:szCs w:val="18"/>
          <w:lang w:val="es-MX"/>
        </w:rPr>
      </w:pPr>
      <w:r>
        <w:rPr>
          <w:b/>
          <w:sz w:val="18"/>
          <w:szCs w:val="18"/>
          <w:lang w:val="es-MX"/>
        </w:rPr>
        <w:t>CUADRO 1</w:t>
      </w:r>
    </w:p>
    <w:p w:rsidR="00FF6998" w:rsidRPr="007266E5" w:rsidRDefault="00FF6998" w:rsidP="00FF6998">
      <w:pPr>
        <w:pStyle w:val="CUERPO1"/>
        <w:spacing w:after="0" w:line="276" w:lineRule="auto"/>
        <w:jc w:val="center"/>
        <w:rPr>
          <w:b/>
          <w:sz w:val="18"/>
          <w:szCs w:val="18"/>
          <w:lang w:val="es-MX"/>
        </w:rPr>
      </w:pPr>
      <w:r w:rsidRPr="007266E5">
        <w:rPr>
          <w:b/>
          <w:sz w:val="18"/>
          <w:szCs w:val="18"/>
          <w:lang w:val="es-MX"/>
        </w:rPr>
        <w:t>DISTRIBUCIÓN DE PRESUPUESTO EN UNIDADES 01 Y 02</w:t>
      </w:r>
    </w:p>
    <w:tbl>
      <w:tblPr>
        <w:tblW w:w="7787" w:type="dxa"/>
        <w:jc w:val="center"/>
        <w:tblCellMar>
          <w:left w:w="70" w:type="dxa"/>
          <w:right w:w="70" w:type="dxa"/>
        </w:tblCellMar>
        <w:tblLook w:val="04A0" w:firstRow="1" w:lastRow="0" w:firstColumn="1" w:lastColumn="0" w:noHBand="0" w:noVBand="1"/>
      </w:tblPr>
      <w:tblGrid>
        <w:gridCol w:w="2542"/>
        <w:gridCol w:w="2551"/>
        <w:gridCol w:w="2694"/>
      </w:tblGrid>
      <w:tr w:rsidR="00FF6998" w:rsidRPr="007266E5" w:rsidTr="00CE442C">
        <w:trPr>
          <w:trHeight w:val="480"/>
          <w:jc w:val="center"/>
        </w:trPr>
        <w:tc>
          <w:tcPr>
            <w:tcW w:w="2542" w:type="dxa"/>
            <w:tcBorders>
              <w:top w:val="nil"/>
              <w:left w:val="single" w:sz="8" w:space="0" w:color="FFFFFF"/>
              <w:bottom w:val="nil"/>
              <w:right w:val="single" w:sz="8" w:space="0" w:color="FFFFFF"/>
            </w:tcBorders>
            <w:shd w:val="clear" w:color="000000" w:fill="4472C4"/>
            <w:noWrap/>
            <w:vAlign w:val="center"/>
            <w:hideMark/>
          </w:tcPr>
          <w:p w:rsidR="00FF6998" w:rsidRPr="007266E5" w:rsidRDefault="00FF6998" w:rsidP="00CE442C">
            <w:pPr>
              <w:spacing w:after="0" w:line="240" w:lineRule="auto"/>
              <w:rPr>
                <w:b/>
                <w:bCs/>
                <w:color w:val="FFFFFF"/>
                <w:sz w:val="18"/>
                <w:szCs w:val="18"/>
              </w:rPr>
            </w:pPr>
            <w:r w:rsidRPr="007266E5">
              <w:rPr>
                <w:b/>
                <w:bCs/>
                <w:color w:val="FFFFFF"/>
                <w:sz w:val="18"/>
                <w:szCs w:val="18"/>
              </w:rPr>
              <w:t>UNIDAD</w:t>
            </w:r>
          </w:p>
        </w:tc>
        <w:tc>
          <w:tcPr>
            <w:tcW w:w="2551" w:type="dxa"/>
            <w:tcBorders>
              <w:top w:val="nil"/>
              <w:left w:val="nil"/>
              <w:bottom w:val="nil"/>
              <w:right w:val="single" w:sz="8" w:space="0" w:color="FFFFFF"/>
            </w:tcBorders>
            <w:shd w:val="clear" w:color="000000" w:fill="4472C4"/>
            <w:vAlign w:val="center"/>
            <w:hideMark/>
          </w:tcPr>
          <w:p w:rsidR="00FF6998" w:rsidRPr="007266E5" w:rsidRDefault="00FF6998" w:rsidP="00CE442C">
            <w:pPr>
              <w:spacing w:after="0" w:line="240" w:lineRule="auto"/>
              <w:jc w:val="center"/>
              <w:rPr>
                <w:b/>
                <w:bCs/>
                <w:color w:val="FFFFFF"/>
                <w:sz w:val="18"/>
                <w:szCs w:val="18"/>
              </w:rPr>
            </w:pPr>
            <w:r w:rsidRPr="007266E5">
              <w:rPr>
                <w:b/>
                <w:bCs/>
                <w:color w:val="FFFFFF"/>
                <w:sz w:val="18"/>
                <w:szCs w:val="18"/>
              </w:rPr>
              <w:t>PRESUPUESTO ASIGNADO</w:t>
            </w:r>
          </w:p>
        </w:tc>
        <w:tc>
          <w:tcPr>
            <w:tcW w:w="2694" w:type="dxa"/>
            <w:tcBorders>
              <w:top w:val="nil"/>
              <w:left w:val="nil"/>
              <w:bottom w:val="nil"/>
              <w:right w:val="single" w:sz="8" w:space="0" w:color="FFFFFF"/>
            </w:tcBorders>
            <w:shd w:val="clear" w:color="000000" w:fill="4472C4"/>
            <w:vAlign w:val="center"/>
            <w:hideMark/>
          </w:tcPr>
          <w:p w:rsidR="00FF6998" w:rsidRPr="007266E5" w:rsidRDefault="00FF6998" w:rsidP="00CE442C">
            <w:pPr>
              <w:spacing w:after="0" w:line="240" w:lineRule="auto"/>
              <w:jc w:val="center"/>
              <w:rPr>
                <w:b/>
                <w:bCs/>
                <w:color w:val="FFFFFF"/>
                <w:sz w:val="18"/>
                <w:szCs w:val="18"/>
              </w:rPr>
            </w:pPr>
            <w:r w:rsidRPr="007266E5">
              <w:rPr>
                <w:b/>
                <w:bCs/>
                <w:color w:val="FFFFFF"/>
                <w:sz w:val="18"/>
                <w:szCs w:val="18"/>
              </w:rPr>
              <w:t>PORCENTAJEPARTICIPACIÓN</w:t>
            </w:r>
          </w:p>
        </w:tc>
      </w:tr>
      <w:tr w:rsidR="00FF6998" w:rsidRPr="007266E5" w:rsidTr="00CE442C">
        <w:trPr>
          <w:trHeight w:val="315"/>
          <w:jc w:val="center"/>
        </w:trPr>
        <w:tc>
          <w:tcPr>
            <w:tcW w:w="2542" w:type="dxa"/>
            <w:tcBorders>
              <w:top w:val="single" w:sz="12" w:space="0" w:color="FFFFFF"/>
              <w:left w:val="single" w:sz="8" w:space="0" w:color="FFFFFF"/>
              <w:bottom w:val="nil"/>
              <w:right w:val="single" w:sz="8" w:space="0" w:color="FFFFFF"/>
            </w:tcBorders>
            <w:shd w:val="clear" w:color="000000" w:fill="B4C6E7"/>
            <w:noWrap/>
            <w:vAlign w:val="center"/>
            <w:hideMark/>
          </w:tcPr>
          <w:p w:rsidR="00FF6998" w:rsidRPr="007266E5" w:rsidRDefault="00FF6998" w:rsidP="00CE442C">
            <w:pPr>
              <w:spacing w:after="0" w:line="240" w:lineRule="auto"/>
              <w:rPr>
                <w:color w:val="000000"/>
                <w:sz w:val="18"/>
                <w:szCs w:val="18"/>
              </w:rPr>
            </w:pPr>
            <w:r w:rsidRPr="007266E5">
              <w:rPr>
                <w:color w:val="000000"/>
                <w:sz w:val="18"/>
                <w:szCs w:val="18"/>
              </w:rPr>
              <w:t>UNIDAD 01</w:t>
            </w:r>
          </w:p>
        </w:tc>
        <w:tc>
          <w:tcPr>
            <w:tcW w:w="2551" w:type="dxa"/>
            <w:tcBorders>
              <w:top w:val="single" w:sz="12" w:space="0" w:color="FFFFFF"/>
              <w:left w:val="nil"/>
              <w:bottom w:val="nil"/>
              <w:right w:val="single" w:sz="8" w:space="0" w:color="FFFFFF"/>
            </w:tcBorders>
            <w:shd w:val="clear" w:color="000000" w:fill="B4C6E7"/>
            <w:noWrap/>
            <w:vAlign w:val="bottom"/>
            <w:hideMark/>
          </w:tcPr>
          <w:p w:rsidR="00FF6998" w:rsidRPr="007266E5" w:rsidRDefault="00FF6998" w:rsidP="00CE442C">
            <w:pPr>
              <w:spacing w:after="0" w:line="240" w:lineRule="auto"/>
              <w:rPr>
                <w:color w:val="000000"/>
                <w:sz w:val="18"/>
                <w:szCs w:val="18"/>
              </w:rPr>
            </w:pPr>
            <w:r>
              <w:rPr>
                <w:color w:val="000000"/>
                <w:sz w:val="18"/>
                <w:szCs w:val="18"/>
              </w:rPr>
              <w:t xml:space="preserve"> $        148.103.486.000,</w:t>
            </w:r>
            <w:r w:rsidRPr="007266E5">
              <w:rPr>
                <w:color w:val="000000"/>
                <w:sz w:val="18"/>
                <w:szCs w:val="18"/>
              </w:rPr>
              <w:t xml:space="preserve">,00 </w:t>
            </w:r>
          </w:p>
        </w:tc>
        <w:tc>
          <w:tcPr>
            <w:tcW w:w="2694" w:type="dxa"/>
            <w:tcBorders>
              <w:top w:val="nil"/>
              <w:left w:val="nil"/>
              <w:bottom w:val="nil"/>
              <w:right w:val="single" w:sz="8" w:space="0" w:color="FFFFFF"/>
            </w:tcBorders>
            <w:shd w:val="clear" w:color="000000" w:fill="B4C6E7"/>
            <w:noWrap/>
            <w:vAlign w:val="center"/>
            <w:hideMark/>
          </w:tcPr>
          <w:p w:rsidR="00FF6998" w:rsidRPr="007266E5" w:rsidRDefault="00FF6998" w:rsidP="00CE442C">
            <w:pPr>
              <w:spacing w:after="0" w:line="240" w:lineRule="auto"/>
              <w:jc w:val="right"/>
              <w:rPr>
                <w:color w:val="000000"/>
                <w:sz w:val="18"/>
                <w:szCs w:val="18"/>
              </w:rPr>
            </w:pPr>
            <w:r>
              <w:rPr>
                <w:color w:val="000000"/>
                <w:sz w:val="18"/>
                <w:szCs w:val="18"/>
              </w:rPr>
              <w:t>99,76</w:t>
            </w:r>
            <w:r w:rsidRPr="007266E5">
              <w:rPr>
                <w:color w:val="000000"/>
                <w:sz w:val="18"/>
                <w:szCs w:val="18"/>
              </w:rPr>
              <w:t>%</w:t>
            </w:r>
          </w:p>
        </w:tc>
      </w:tr>
      <w:tr w:rsidR="00FF6998" w:rsidRPr="007266E5" w:rsidTr="00CE442C">
        <w:trPr>
          <w:trHeight w:val="315"/>
          <w:jc w:val="center"/>
        </w:trPr>
        <w:tc>
          <w:tcPr>
            <w:tcW w:w="2542" w:type="dxa"/>
            <w:tcBorders>
              <w:top w:val="nil"/>
              <w:left w:val="nil"/>
              <w:bottom w:val="single" w:sz="8" w:space="0" w:color="FFFFFF"/>
              <w:right w:val="single" w:sz="8" w:space="0" w:color="FFFFFF"/>
            </w:tcBorders>
            <w:shd w:val="clear" w:color="000000" w:fill="D9E1F2"/>
            <w:noWrap/>
            <w:vAlign w:val="center"/>
            <w:hideMark/>
          </w:tcPr>
          <w:p w:rsidR="00FF6998" w:rsidRPr="007266E5" w:rsidRDefault="00FF6998" w:rsidP="00CE442C">
            <w:pPr>
              <w:spacing w:after="0" w:line="240" w:lineRule="auto"/>
              <w:rPr>
                <w:color w:val="000000"/>
                <w:sz w:val="18"/>
                <w:szCs w:val="18"/>
              </w:rPr>
            </w:pPr>
            <w:r w:rsidRPr="007266E5">
              <w:rPr>
                <w:color w:val="000000"/>
                <w:sz w:val="18"/>
                <w:szCs w:val="18"/>
              </w:rPr>
              <w:t>UNIDAD 02</w:t>
            </w:r>
          </w:p>
        </w:tc>
        <w:tc>
          <w:tcPr>
            <w:tcW w:w="2551" w:type="dxa"/>
            <w:tcBorders>
              <w:top w:val="nil"/>
              <w:left w:val="nil"/>
              <w:bottom w:val="single" w:sz="8" w:space="0" w:color="FFFFFF"/>
              <w:right w:val="single" w:sz="8" w:space="0" w:color="FFFFFF"/>
            </w:tcBorders>
            <w:shd w:val="clear" w:color="000000" w:fill="D9E1F2"/>
            <w:noWrap/>
            <w:vAlign w:val="bottom"/>
            <w:hideMark/>
          </w:tcPr>
          <w:p w:rsidR="00FF6998" w:rsidRPr="007266E5" w:rsidRDefault="00FF6998" w:rsidP="00CE442C">
            <w:pPr>
              <w:spacing w:after="0" w:line="240" w:lineRule="auto"/>
              <w:rPr>
                <w:color w:val="000000"/>
                <w:sz w:val="18"/>
                <w:szCs w:val="18"/>
              </w:rPr>
            </w:pPr>
            <w:r>
              <w:rPr>
                <w:color w:val="000000"/>
                <w:sz w:val="18"/>
                <w:szCs w:val="18"/>
              </w:rPr>
              <w:t xml:space="preserve"> $               349.080.000,00</w:t>
            </w:r>
          </w:p>
        </w:tc>
        <w:tc>
          <w:tcPr>
            <w:tcW w:w="2694" w:type="dxa"/>
            <w:tcBorders>
              <w:top w:val="nil"/>
              <w:left w:val="nil"/>
              <w:bottom w:val="single" w:sz="8" w:space="0" w:color="FFFFFF"/>
              <w:right w:val="single" w:sz="8" w:space="0" w:color="FFFFFF"/>
            </w:tcBorders>
            <w:shd w:val="clear" w:color="000000" w:fill="D9E1F2"/>
            <w:noWrap/>
            <w:vAlign w:val="bottom"/>
            <w:hideMark/>
          </w:tcPr>
          <w:p w:rsidR="00FF6998" w:rsidRPr="007266E5" w:rsidRDefault="00FF6998" w:rsidP="00CE442C">
            <w:pPr>
              <w:spacing w:after="0" w:line="240" w:lineRule="auto"/>
              <w:jc w:val="right"/>
              <w:rPr>
                <w:color w:val="000000"/>
                <w:sz w:val="18"/>
                <w:szCs w:val="18"/>
              </w:rPr>
            </w:pPr>
            <w:r>
              <w:rPr>
                <w:color w:val="000000"/>
                <w:sz w:val="18"/>
                <w:szCs w:val="18"/>
              </w:rPr>
              <w:t>0.24</w:t>
            </w:r>
            <w:r w:rsidRPr="007266E5">
              <w:rPr>
                <w:color w:val="000000"/>
                <w:sz w:val="18"/>
                <w:szCs w:val="18"/>
              </w:rPr>
              <w:t>%</w:t>
            </w:r>
          </w:p>
        </w:tc>
      </w:tr>
      <w:tr w:rsidR="00FF6998" w:rsidRPr="007266E5" w:rsidTr="00CE442C">
        <w:trPr>
          <w:trHeight w:val="315"/>
          <w:jc w:val="center"/>
        </w:trPr>
        <w:tc>
          <w:tcPr>
            <w:tcW w:w="2542" w:type="dxa"/>
            <w:tcBorders>
              <w:top w:val="nil"/>
              <w:left w:val="nil"/>
              <w:bottom w:val="single" w:sz="8" w:space="0" w:color="FFFFFF"/>
              <w:right w:val="single" w:sz="8" w:space="0" w:color="FFFFFF"/>
            </w:tcBorders>
            <w:shd w:val="clear" w:color="000000" w:fill="B4C6E7"/>
            <w:noWrap/>
            <w:vAlign w:val="center"/>
            <w:hideMark/>
          </w:tcPr>
          <w:p w:rsidR="00FF6998" w:rsidRPr="007266E5" w:rsidRDefault="00FF6998" w:rsidP="00CE442C">
            <w:pPr>
              <w:spacing w:after="0" w:line="240" w:lineRule="auto"/>
              <w:rPr>
                <w:b/>
                <w:bCs/>
                <w:color w:val="000000"/>
                <w:sz w:val="18"/>
                <w:szCs w:val="18"/>
              </w:rPr>
            </w:pPr>
            <w:r w:rsidRPr="007266E5">
              <w:rPr>
                <w:b/>
                <w:bCs/>
                <w:color w:val="000000"/>
                <w:sz w:val="18"/>
                <w:szCs w:val="18"/>
              </w:rPr>
              <w:t>TOTAL (UNIDAD 01+02)</w:t>
            </w:r>
          </w:p>
        </w:tc>
        <w:tc>
          <w:tcPr>
            <w:tcW w:w="2551" w:type="dxa"/>
            <w:tcBorders>
              <w:top w:val="nil"/>
              <w:left w:val="nil"/>
              <w:bottom w:val="single" w:sz="8" w:space="0" w:color="FFFFFF"/>
              <w:right w:val="single" w:sz="8" w:space="0" w:color="FFFFFF"/>
            </w:tcBorders>
            <w:shd w:val="clear" w:color="000000" w:fill="B4C6E7"/>
            <w:noWrap/>
            <w:vAlign w:val="center"/>
            <w:hideMark/>
          </w:tcPr>
          <w:p w:rsidR="00FF6998" w:rsidRPr="007266E5" w:rsidRDefault="00FF6998" w:rsidP="00CE442C">
            <w:pPr>
              <w:spacing w:after="0" w:line="240" w:lineRule="auto"/>
              <w:rPr>
                <w:b/>
                <w:bCs/>
                <w:color w:val="000000"/>
                <w:sz w:val="18"/>
                <w:szCs w:val="18"/>
              </w:rPr>
            </w:pPr>
            <w:r>
              <w:rPr>
                <w:b/>
                <w:bCs/>
                <w:color w:val="000000"/>
                <w:sz w:val="18"/>
                <w:szCs w:val="18"/>
              </w:rPr>
              <w:t xml:space="preserve"> $        148.452.566.000</w:t>
            </w:r>
            <w:r w:rsidRPr="007266E5">
              <w:rPr>
                <w:b/>
                <w:bCs/>
                <w:color w:val="000000"/>
                <w:sz w:val="18"/>
                <w:szCs w:val="18"/>
              </w:rPr>
              <w:t xml:space="preserve">,00 </w:t>
            </w:r>
          </w:p>
        </w:tc>
        <w:tc>
          <w:tcPr>
            <w:tcW w:w="2694" w:type="dxa"/>
            <w:tcBorders>
              <w:top w:val="nil"/>
              <w:left w:val="nil"/>
              <w:bottom w:val="single" w:sz="8" w:space="0" w:color="FFFFFF"/>
              <w:right w:val="single" w:sz="8" w:space="0" w:color="FFFFFF"/>
            </w:tcBorders>
            <w:shd w:val="clear" w:color="000000" w:fill="B4C6E7"/>
            <w:noWrap/>
            <w:vAlign w:val="center"/>
            <w:hideMark/>
          </w:tcPr>
          <w:p w:rsidR="00FF6998" w:rsidRPr="007266E5" w:rsidRDefault="00FF6998" w:rsidP="00CE442C">
            <w:pPr>
              <w:spacing w:after="0" w:line="240" w:lineRule="auto"/>
              <w:jc w:val="right"/>
              <w:rPr>
                <w:b/>
                <w:bCs/>
                <w:color w:val="000000"/>
                <w:sz w:val="18"/>
                <w:szCs w:val="18"/>
              </w:rPr>
            </w:pPr>
            <w:r w:rsidRPr="007266E5">
              <w:rPr>
                <w:b/>
                <w:bCs/>
                <w:color w:val="000000"/>
                <w:sz w:val="18"/>
                <w:szCs w:val="18"/>
              </w:rPr>
              <w:t>100,00%</w:t>
            </w:r>
          </w:p>
        </w:tc>
      </w:tr>
      <w:tr w:rsidR="00FF6998" w:rsidRPr="007266E5" w:rsidTr="00CE442C">
        <w:trPr>
          <w:trHeight w:val="300"/>
          <w:jc w:val="center"/>
        </w:trPr>
        <w:tc>
          <w:tcPr>
            <w:tcW w:w="5093" w:type="dxa"/>
            <w:gridSpan w:val="2"/>
            <w:tcBorders>
              <w:top w:val="nil"/>
              <w:left w:val="nil"/>
              <w:bottom w:val="nil"/>
              <w:right w:val="nil"/>
            </w:tcBorders>
            <w:shd w:val="clear" w:color="auto" w:fill="auto"/>
            <w:noWrap/>
            <w:vAlign w:val="center"/>
            <w:hideMark/>
          </w:tcPr>
          <w:p w:rsidR="00FF6998" w:rsidRDefault="00FF6998" w:rsidP="00CE442C">
            <w:pPr>
              <w:spacing w:after="0" w:line="240" w:lineRule="auto"/>
              <w:rPr>
                <w:b/>
                <w:bCs/>
                <w:color w:val="000000"/>
                <w:sz w:val="18"/>
                <w:szCs w:val="18"/>
              </w:rPr>
            </w:pPr>
            <w:r w:rsidRPr="007266E5">
              <w:rPr>
                <w:b/>
                <w:bCs/>
                <w:color w:val="000000"/>
                <w:sz w:val="18"/>
                <w:szCs w:val="18"/>
              </w:rPr>
              <w:t>Fuente: Subdirección Financiera</w:t>
            </w:r>
          </w:p>
          <w:p w:rsidR="00FF6998" w:rsidRPr="007266E5" w:rsidRDefault="00FF6998" w:rsidP="00CE442C">
            <w:pPr>
              <w:spacing w:after="0" w:line="240" w:lineRule="auto"/>
              <w:rPr>
                <w:b/>
                <w:bCs/>
                <w:color w:val="000000"/>
                <w:sz w:val="18"/>
                <w:szCs w:val="18"/>
              </w:rPr>
            </w:pPr>
          </w:p>
        </w:tc>
        <w:tc>
          <w:tcPr>
            <w:tcW w:w="2694" w:type="dxa"/>
            <w:tcBorders>
              <w:top w:val="nil"/>
              <w:left w:val="nil"/>
              <w:bottom w:val="nil"/>
              <w:right w:val="nil"/>
            </w:tcBorders>
            <w:shd w:val="clear" w:color="auto" w:fill="auto"/>
            <w:noWrap/>
            <w:vAlign w:val="bottom"/>
            <w:hideMark/>
          </w:tcPr>
          <w:p w:rsidR="00FF6998" w:rsidRPr="007266E5" w:rsidRDefault="00FF6998" w:rsidP="00CE442C">
            <w:pPr>
              <w:spacing w:after="0" w:line="240" w:lineRule="auto"/>
              <w:rPr>
                <w:b/>
                <w:bCs/>
                <w:color w:val="000000"/>
                <w:sz w:val="18"/>
                <w:szCs w:val="18"/>
              </w:rPr>
            </w:pPr>
          </w:p>
        </w:tc>
      </w:tr>
    </w:tbl>
    <w:p w:rsidR="00FF6998" w:rsidRDefault="00FF6998" w:rsidP="00FF6998">
      <w:pPr>
        <w:pStyle w:val="CUERPO1"/>
        <w:spacing w:line="276" w:lineRule="auto"/>
        <w:rPr>
          <w:sz w:val="22"/>
          <w:szCs w:val="22"/>
          <w:lang w:val="es-MX"/>
        </w:rPr>
      </w:pPr>
      <w:r>
        <w:rPr>
          <w:sz w:val="22"/>
          <w:szCs w:val="22"/>
          <w:lang w:val="es-MX"/>
        </w:rPr>
        <w:t>Del anterior cuadro se observa que la Unidad ejecutora 01 le corresponde la suma de $148.103.486.000. Y tienen participación del 99.76% mientras que la Unidad ejecutora 02 el valor de $349.080.000, que corresponden al 0.24% de los Gastos Generales asignados a la Contraloría de Bogotá D.C., con una participación del 0.24%.</w:t>
      </w:r>
    </w:p>
    <w:p w:rsidR="00EE233A" w:rsidRDefault="00EE233A" w:rsidP="00FF6998">
      <w:pPr>
        <w:pStyle w:val="CUERPO1"/>
        <w:spacing w:line="276" w:lineRule="auto"/>
        <w:rPr>
          <w:sz w:val="22"/>
          <w:szCs w:val="22"/>
          <w:lang w:val="es-MX"/>
        </w:rPr>
      </w:pPr>
    </w:p>
    <w:p w:rsidR="008C3BEF" w:rsidRPr="00FF6998" w:rsidRDefault="00EE233A" w:rsidP="005347D1">
      <w:pPr>
        <w:spacing w:line="276" w:lineRule="auto"/>
        <w:jc w:val="both"/>
        <w:rPr>
          <w:rFonts w:ascii="Arial" w:hAnsi="Arial" w:cs="Arial"/>
          <w:sz w:val="22"/>
          <w:szCs w:val="22"/>
          <w:lang w:val="es-MX"/>
        </w:rPr>
      </w:pPr>
      <w:r>
        <w:rPr>
          <w:rFonts w:ascii="Arial" w:hAnsi="Arial" w:cs="Arial"/>
          <w:sz w:val="22"/>
          <w:szCs w:val="22"/>
          <w:lang w:val="es-MX"/>
        </w:rPr>
        <w:t xml:space="preserve"> En el cuadro 2 se muestra por concepto de gasto la distribución del presupuesto de la unidad ejecutora 01 de la Contraloría de Bogotá</w:t>
      </w:r>
    </w:p>
    <w:p w:rsidR="008C3BEF" w:rsidRDefault="008C3BEF" w:rsidP="005347D1">
      <w:pPr>
        <w:spacing w:line="276" w:lineRule="auto"/>
        <w:jc w:val="both"/>
        <w:rPr>
          <w:rFonts w:ascii="Arial" w:hAnsi="Arial" w:cs="Arial"/>
          <w:sz w:val="22"/>
          <w:szCs w:val="22"/>
        </w:rPr>
      </w:pPr>
    </w:p>
    <w:p w:rsidR="008C3BEF" w:rsidRPr="00061448" w:rsidRDefault="008C3BEF" w:rsidP="005347D1">
      <w:pPr>
        <w:spacing w:line="276" w:lineRule="auto"/>
        <w:jc w:val="both"/>
        <w:rPr>
          <w:b/>
          <w:sz w:val="14"/>
          <w:szCs w:val="22"/>
          <w:lang w:val="es-MX"/>
        </w:rPr>
      </w:pPr>
    </w:p>
    <w:p w:rsidR="00CD17B2" w:rsidRPr="007266E5" w:rsidRDefault="00EE233A" w:rsidP="00061448">
      <w:pPr>
        <w:pStyle w:val="CUERPO1"/>
        <w:spacing w:after="0" w:line="276" w:lineRule="auto"/>
        <w:jc w:val="center"/>
        <w:rPr>
          <w:b/>
          <w:sz w:val="18"/>
          <w:szCs w:val="22"/>
          <w:lang w:val="es-MX"/>
        </w:rPr>
      </w:pPr>
      <w:r>
        <w:rPr>
          <w:b/>
          <w:sz w:val="18"/>
          <w:szCs w:val="22"/>
          <w:lang w:val="es-MX"/>
        </w:rPr>
        <w:t>CUADRO 2</w:t>
      </w:r>
    </w:p>
    <w:p w:rsidR="004F7CCD" w:rsidRPr="007266E5" w:rsidRDefault="004F7CCD" w:rsidP="00061448">
      <w:pPr>
        <w:pStyle w:val="CUERPO1"/>
        <w:spacing w:after="0" w:line="276" w:lineRule="auto"/>
        <w:jc w:val="center"/>
        <w:rPr>
          <w:b/>
          <w:sz w:val="18"/>
          <w:szCs w:val="22"/>
          <w:lang w:val="es-MX"/>
        </w:rPr>
      </w:pPr>
      <w:r w:rsidRPr="007266E5">
        <w:rPr>
          <w:b/>
          <w:sz w:val="18"/>
          <w:szCs w:val="22"/>
          <w:lang w:val="es-MX"/>
        </w:rPr>
        <w:t>CONTRA</w:t>
      </w:r>
      <w:r w:rsidR="00BD489F">
        <w:rPr>
          <w:b/>
          <w:sz w:val="18"/>
          <w:szCs w:val="22"/>
          <w:lang w:val="es-MX"/>
        </w:rPr>
        <w:t>LORÍA D</w:t>
      </w:r>
      <w:r w:rsidR="00EE233A">
        <w:rPr>
          <w:b/>
          <w:sz w:val="18"/>
          <w:szCs w:val="22"/>
          <w:lang w:val="es-MX"/>
        </w:rPr>
        <w:t>E BOGOTÁ PRESUPUESTO 2018</w:t>
      </w:r>
    </w:p>
    <w:tbl>
      <w:tblPr>
        <w:tblW w:w="8982" w:type="dxa"/>
        <w:jc w:val="center"/>
        <w:tblCellMar>
          <w:left w:w="70" w:type="dxa"/>
          <w:right w:w="70" w:type="dxa"/>
        </w:tblCellMar>
        <w:tblLook w:val="04A0" w:firstRow="1" w:lastRow="0" w:firstColumn="1" w:lastColumn="0" w:noHBand="0" w:noVBand="1"/>
      </w:tblPr>
      <w:tblGrid>
        <w:gridCol w:w="880"/>
        <w:gridCol w:w="2153"/>
        <w:gridCol w:w="2045"/>
        <w:gridCol w:w="2004"/>
        <w:gridCol w:w="1900"/>
      </w:tblGrid>
      <w:tr w:rsidR="005347D1" w:rsidRPr="00394262" w:rsidTr="005347D1">
        <w:trPr>
          <w:trHeight w:val="465"/>
          <w:jc w:val="center"/>
        </w:trPr>
        <w:tc>
          <w:tcPr>
            <w:tcW w:w="880" w:type="dxa"/>
            <w:tcBorders>
              <w:top w:val="nil"/>
              <w:left w:val="nil"/>
              <w:bottom w:val="single" w:sz="12" w:space="0" w:color="FFFFFF"/>
              <w:right w:val="single" w:sz="4" w:space="0" w:color="FFFFFF"/>
            </w:tcBorders>
            <w:shd w:val="clear" w:color="4472C4" w:fill="4472C4"/>
            <w:noWrap/>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CODIGO</w:t>
            </w:r>
          </w:p>
        </w:tc>
        <w:tc>
          <w:tcPr>
            <w:tcW w:w="2153" w:type="dxa"/>
            <w:tcBorders>
              <w:top w:val="nil"/>
              <w:left w:val="single" w:sz="4" w:space="0" w:color="FFFFFF"/>
              <w:bottom w:val="single" w:sz="12" w:space="0" w:color="FFFFFF"/>
              <w:right w:val="single" w:sz="4" w:space="0" w:color="FFFFFF"/>
            </w:tcBorders>
            <w:shd w:val="clear" w:color="4472C4" w:fill="4472C4"/>
            <w:noWrap/>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CONCEPTO</w:t>
            </w:r>
          </w:p>
        </w:tc>
        <w:tc>
          <w:tcPr>
            <w:tcW w:w="2045" w:type="dxa"/>
            <w:tcBorders>
              <w:top w:val="nil"/>
              <w:left w:val="single" w:sz="4" w:space="0" w:color="FFFFFF"/>
              <w:bottom w:val="single" w:sz="12" w:space="0" w:color="FFFFFF"/>
              <w:right w:val="single" w:sz="4" w:space="0" w:color="FFFFFF"/>
            </w:tcBorders>
            <w:shd w:val="clear" w:color="4472C4" w:fill="4472C4"/>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 xml:space="preserve">RECURSOS </w:t>
            </w:r>
            <w:r w:rsidRPr="00394262">
              <w:rPr>
                <w:b/>
                <w:bCs/>
                <w:color w:val="FFFFFF"/>
                <w:sz w:val="18"/>
                <w:szCs w:val="16"/>
              </w:rPr>
              <w:br/>
              <w:t>ADMINISTRADOS</w:t>
            </w:r>
          </w:p>
        </w:tc>
        <w:tc>
          <w:tcPr>
            <w:tcW w:w="2004" w:type="dxa"/>
            <w:tcBorders>
              <w:top w:val="nil"/>
              <w:left w:val="single" w:sz="4" w:space="0" w:color="FFFFFF"/>
              <w:bottom w:val="single" w:sz="12" w:space="0" w:color="FFFFFF"/>
              <w:right w:val="single" w:sz="4" w:space="0" w:color="FFFFFF"/>
            </w:tcBorders>
            <w:shd w:val="clear" w:color="4472C4" w:fill="4472C4"/>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 xml:space="preserve">APORTES </w:t>
            </w:r>
            <w:r w:rsidRPr="00394262">
              <w:rPr>
                <w:b/>
                <w:bCs/>
                <w:color w:val="FFFFFF"/>
                <w:sz w:val="18"/>
                <w:szCs w:val="16"/>
              </w:rPr>
              <w:br/>
              <w:t>DISTRITO</w:t>
            </w:r>
          </w:p>
        </w:tc>
        <w:tc>
          <w:tcPr>
            <w:tcW w:w="1900" w:type="dxa"/>
            <w:tcBorders>
              <w:top w:val="nil"/>
              <w:left w:val="single" w:sz="4" w:space="0" w:color="FFFFFF"/>
              <w:bottom w:val="single" w:sz="12" w:space="0" w:color="FFFFFF"/>
              <w:right w:val="nil"/>
            </w:tcBorders>
            <w:shd w:val="clear" w:color="4472C4" w:fill="4472C4"/>
            <w:noWrap/>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TOTAL</w:t>
            </w:r>
          </w:p>
        </w:tc>
      </w:tr>
      <w:tr w:rsidR="00394262" w:rsidRPr="00394262" w:rsidTr="005347D1">
        <w:trPr>
          <w:trHeight w:val="300"/>
          <w:jc w:val="center"/>
        </w:trPr>
        <w:tc>
          <w:tcPr>
            <w:tcW w:w="880" w:type="dxa"/>
            <w:tcBorders>
              <w:top w:val="single" w:sz="4" w:space="0" w:color="FFFFFF"/>
              <w:left w:val="nil"/>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3-1</w:t>
            </w:r>
          </w:p>
        </w:tc>
        <w:tc>
          <w:tcPr>
            <w:tcW w:w="2153"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Gastos de funcionamiento</w:t>
            </w:r>
          </w:p>
        </w:tc>
        <w:tc>
          <w:tcPr>
            <w:tcW w:w="2045"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p>
        </w:tc>
        <w:tc>
          <w:tcPr>
            <w:tcW w:w="2004"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5347D1" w:rsidRPr="00394262" w:rsidRDefault="005347D1" w:rsidP="00EE233A">
            <w:pPr>
              <w:spacing w:after="0" w:line="240" w:lineRule="auto"/>
              <w:jc w:val="center"/>
              <w:rPr>
                <w:color w:val="000000"/>
                <w:sz w:val="18"/>
                <w:szCs w:val="16"/>
              </w:rPr>
            </w:pPr>
          </w:p>
          <w:p w:rsidR="00394262" w:rsidRPr="00394262" w:rsidRDefault="005347D1" w:rsidP="00EE233A">
            <w:pPr>
              <w:spacing w:after="0" w:line="240" w:lineRule="auto"/>
              <w:jc w:val="center"/>
              <w:rPr>
                <w:color w:val="000000"/>
                <w:sz w:val="16"/>
                <w:szCs w:val="16"/>
              </w:rPr>
            </w:pPr>
            <w:r w:rsidRPr="005347D1">
              <w:rPr>
                <w:color w:val="000000"/>
                <w:sz w:val="18"/>
                <w:szCs w:val="16"/>
              </w:rPr>
              <w:t xml:space="preserve">$  </w:t>
            </w:r>
            <w:r w:rsidR="00EE233A">
              <w:rPr>
                <w:color w:val="000000"/>
                <w:sz w:val="18"/>
                <w:szCs w:val="16"/>
              </w:rPr>
              <w:t>132.245</w:t>
            </w:r>
            <w:r w:rsidR="00B110B0">
              <w:rPr>
                <w:color w:val="000000"/>
                <w:sz w:val="18"/>
                <w:szCs w:val="16"/>
              </w:rPr>
              <w:t>.101.000</w:t>
            </w:r>
          </w:p>
        </w:tc>
        <w:tc>
          <w:tcPr>
            <w:tcW w:w="1900" w:type="dxa"/>
            <w:tcBorders>
              <w:top w:val="single" w:sz="4" w:space="0" w:color="FFFFFF"/>
              <w:left w:val="single" w:sz="4" w:space="0" w:color="FFFFFF"/>
              <w:bottom w:val="single" w:sz="4" w:space="0" w:color="FFFFFF"/>
              <w:right w:val="nil"/>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 xml:space="preserve"> </w:t>
            </w:r>
            <w:r w:rsidR="0049780C">
              <w:rPr>
                <w:color w:val="000000"/>
                <w:sz w:val="18"/>
                <w:szCs w:val="16"/>
              </w:rPr>
              <w:t>$  132.245.101</w:t>
            </w:r>
            <w:r w:rsidR="00B110B0">
              <w:rPr>
                <w:color w:val="000000"/>
                <w:sz w:val="18"/>
                <w:szCs w:val="16"/>
              </w:rPr>
              <w:t>.</w:t>
            </w:r>
            <w:r w:rsidR="00EE233A">
              <w:rPr>
                <w:color w:val="000000"/>
                <w:sz w:val="18"/>
                <w:szCs w:val="16"/>
              </w:rPr>
              <w:t>000</w:t>
            </w:r>
            <w:r w:rsidRPr="00394262">
              <w:rPr>
                <w:color w:val="000000"/>
                <w:sz w:val="18"/>
                <w:szCs w:val="16"/>
              </w:rPr>
              <w:t xml:space="preserve"> </w:t>
            </w:r>
          </w:p>
        </w:tc>
      </w:tr>
      <w:tr w:rsidR="00394262" w:rsidRPr="00394262" w:rsidTr="005347D1">
        <w:trPr>
          <w:trHeight w:val="300"/>
          <w:jc w:val="center"/>
        </w:trPr>
        <w:tc>
          <w:tcPr>
            <w:tcW w:w="880" w:type="dxa"/>
            <w:tcBorders>
              <w:top w:val="single" w:sz="4" w:space="0" w:color="FFFFFF"/>
              <w:left w:val="nil"/>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3-2</w:t>
            </w:r>
          </w:p>
        </w:tc>
        <w:tc>
          <w:tcPr>
            <w:tcW w:w="2153"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Servicio de Deuda</w:t>
            </w:r>
          </w:p>
        </w:tc>
        <w:tc>
          <w:tcPr>
            <w:tcW w:w="2045"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color w:val="000000"/>
                <w:sz w:val="18"/>
                <w:szCs w:val="16"/>
              </w:rPr>
            </w:pPr>
          </w:p>
        </w:tc>
        <w:tc>
          <w:tcPr>
            <w:tcW w:w="2004"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rFonts w:ascii="Times New Roman" w:hAnsi="Times New Roman"/>
                <w:sz w:val="18"/>
              </w:rPr>
            </w:pPr>
          </w:p>
        </w:tc>
        <w:tc>
          <w:tcPr>
            <w:tcW w:w="1900" w:type="dxa"/>
            <w:tcBorders>
              <w:top w:val="single" w:sz="4" w:space="0" w:color="FFFFFF"/>
              <w:left w:val="single" w:sz="4" w:space="0" w:color="FFFFFF"/>
              <w:bottom w:val="single" w:sz="4" w:space="0" w:color="FFFFFF"/>
              <w:right w:val="nil"/>
            </w:tcBorders>
            <w:shd w:val="clear" w:color="D9E1F2" w:fill="D9E1F2"/>
            <w:noWrap/>
            <w:vAlign w:val="bottom"/>
            <w:hideMark/>
          </w:tcPr>
          <w:p w:rsidR="00394262" w:rsidRPr="00394262" w:rsidRDefault="00345484" w:rsidP="00394262">
            <w:pPr>
              <w:spacing w:after="0" w:line="240" w:lineRule="auto"/>
              <w:rPr>
                <w:color w:val="000000"/>
                <w:sz w:val="22"/>
                <w:szCs w:val="22"/>
              </w:rPr>
            </w:pPr>
            <w:r w:rsidRPr="00345484">
              <w:rPr>
                <w:color w:val="000000"/>
                <w:sz w:val="18"/>
                <w:szCs w:val="22"/>
              </w:rPr>
              <w:t xml:space="preserve">                                    -  </w:t>
            </w:r>
          </w:p>
        </w:tc>
      </w:tr>
      <w:tr w:rsidR="00394262" w:rsidRPr="00394262" w:rsidTr="005347D1">
        <w:trPr>
          <w:trHeight w:val="300"/>
          <w:jc w:val="center"/>
        </w:trPr>
        <w:tc>
          <w:tcPr>
            <w:tcW w:w="880" w:type="dxa"/>
            <w:tcBorders>
              <w:top w:val="single" w:sz="4" w:space="0" w:color="FFFFFF"/>
              <w:left w:val="nil"/>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3-3</w:t>
            </w:r>
          </w:p>
        </w:tc>
        <w:tc>
          <w:tcPr>
            <w:tcW w:w="2153"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 xml:space="preserve">Inversión </w:t>
            </w:r>
          </w:p>
        </w:tc>
        <w:tc>
          <w:tcPr>
            <w:tcW w:w="2045"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B110B0" w:rsidP="00394262">
            <w:pPr>
              <w:spacing w:after="0" w:line="240" w:lineRule="auto"/>
              <w:rPr>
                <w:color w:val="000000"/>
                <w:sz w:val="18"/>
                <w:szCs w:val="16"/>
              </w:rPr>
            </w:pPr>
            <w:r>
              <w:rPr>
                <w:color w:val="000000"/>
                <w:sz w:val="18"/>
                <w:szCs w:val="16"/>
              </w:rPr>
              <w:t xml:space="preserve"> $         2.618.479.000</w:t>
            </w:r>
          </w:p>
        </w:tc>
        <w:tc>
          <w:tcPr>
            <w:tcW w:w="2004"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B110B0" w:rsidP="00394262">
            <w:pPr>
              <w:spacing w:after="0" w:line="240" w:lineRule="auto"/>
              <w:rPr>
                <w:color w:val="000000"/>
                <w:sz w:val="18"/>
                <w:szCs w:val="16"/>
              </w:rPr>
            </w:pPr>
            <w:r>
              <w:rPr>
                <w:color w:val="000000"/>
                <w:sz w:val="18"/>
                <w:szCs w:val="16"/>
              </w:rPr>
              <w:t xml:space="preserve"> $        14.189.409.000</w:t>
            </w:r>
            <w:r w:rsidR="00394262" w:rsidRPr="00394262">
              <w:rPr>
                <w:color w:val="000000"/>
                <w:sz w:val="18"/>
                <w:szCs w:val="16"/>
              </w:rPr>
              <w:t xml:space="preserve"> </w:t>
            </w:r>
          </w:p>
        </w:tc>
        <w:tc>
          <w:tcPr>
            <w:tcW w:w="1900" w:type="dxa"/>
            <w:tcBorders>
              <w:top w:val="single" w:sz="4" w:space="0" w:color="FFFFFF"/>
              <w:left w:val="single" w:sz="4" w:space="0" w:color="FFFFFF"/>
              <w:bottom w:val="single" w:sz="4" w:space="0" w:color="FFFFFF"/>
              <w:right w:val="nil"/>
            </w:tcBorders>
            <w:shd w:val="clear" w:color="B4C6E7" w:fill="B4C6E7"/>
            <w:noWrap/>
            <w:vAlign w:val="bottom"/>
            <w:hideMark/>
          </w:tcPr>
          <w:p w:rsidR="00394262" w:rsidRPr="00394262" w:rsidRDefault="0049780C" w:rsidP="00394262">
            <w:pPr>
              <w:spacing w:after="0" w:line="240" w:lineRule="auto"/>
              <w:rPr>
                <w:color w:val="000000"/>
                <w:sz w:val="18"/>
                <w:szCs w:val="16"/>
              </w:rPr>
            </w:pPr>
            <w:r>
              <w:rPr>
                <w:color w:val="000000"/>
                <w:sz w:val="18"/>
                <w:szCs w:val="16"/>
              </w:rPr>
              <w:t xml:space="preserve"> $     15.858.385</w:t>
            </w:r>
            <w:r w:rsidR="00EE233A">
              <w:rPr>
                <w:color w:val="000000"/>
                <w:sz w:val="18"/>
                <w:szCs w:val="16"/>
              </w:rPr>
              <w:t>.000</w:t>
            </w:r>
            <w:r w:rsidR="00394262" w:rsidRPr="00394262">
              <w:rPr>
                <w:color w:val="000000"/>
                <w:sz w:val="18"/>
                <w:szCs w:val="16"/>
              </w:rPr>
              <w:t xml:space="preserve"> </w:t>
            </w:r>
          </w:p>
        </w:tc>
      </w:tr>
      <w:tr w:rsidR="00394262" w:rsidRPr="00394262" w:rsidTr="005347D1">
        <w:trPr>
          <w:trHeight w:val="300"/>
          <w:jc w:val="center"/>
        </w:trPr>
        <w:tc>
          <w:tcPr>
            <w:tcW w:w="3033" w:type="dxa"/>
            <w:gridSpan w:val="2"/>
            <w:tcBorders>
              <w:top w:val="single" w:sz="4" w:space="0" w:color="FFFFFF"/>
              <w:left w:val="nil"/>
              <w:bottom w:val="nil"/>
              <w:right w:val="single" w:sz="4" w:space="0" w:color="FFFFFF"/>
            </w:tcBorders>
            <w:shd w:val="clear" w:color="D9E1F2" w:fill="D9E1F2"/>
            <w:noWrap/>
            <w:vAlign w:val="bottom"/>
            <w:hideMark/>
          </w:tcPr>
          <w:p w:rsidR="00394262" w:rsidRPr="00394262" w:rsidRDefault="00394262" w:rsidP="00394262">
            <w:pPr>
              <w:spacing w:after="0" w:line="240" w:lineRule="auto"/>
              <w:rPr>
                <w:b/>
                <w:bCs/>
                <w:color w:val="000000"/>
                <w:sz w:val="18"/>
                <w:szCs w:val="16"/>
              </w:rPr>
            </w:pPr>
            <w:r w:rsidRPr="00394262">
              <w:rPr>
                <w:b/>
                <w:bCs/>
                <w:color w:val="000000"/>
                <w:sz w:val="18"/>
                <w:szCs w:val="16"/>
              </w:rPr>
              <w:t xml:space="preserve">Total gastos e inversiones </w:t>
            </w:r>
          </w:p>
        </w:tc>
        <w:tc>
          <w:tcPr>
            <w:tcW w:w="2045" w:type="dxa"/>
            <w:tcBorders>
              <w:top w:val="single" w:sz="4" w:space="0" w:color="FFFFFF"/>
              <w:left w:val="single" w:sz="4" w:space="0" w:color="FFFFFF"/>
              <w:bottom w:val="nil"/>
              <w:right w:val="single" w:sz="4" w:space="0" w:color="FFFFFF"/>
            </w:tcBorders>
            <w:shd w:val="clear" w:color="D9E1F2" w:fill="D9E1F2"/>
            <w:noWrap/>
            <w:vAlign w:val="bottom"/>
            <w:hideMark/>
          </w:tcPr>
          <w:p w:rsidR="00394262" w:rsidRPr="00394262" w:rsidRDefault="00394262" w:rsidP="00394262">
            <w:pPr>
              <w:spacing w:after="0" w:line="240" w:lineRule="auto"/>
              <w:rPr>
                <w:b/>
                <w:bCs/>
                <w:color w:val="000000"/>
                <w:sz w:val="18"/>
                <w:szCs w:val="16"/>
              </w:rPr>
            </w:pPr>
          </w:p>
        </w:tc>
        <w:tc>
          <w:tcPr>
            <w:tcW w:w="2004" w:type="dxa"/>
            <w:tcBorders>
              <w:top w:val="single" w:sz="4" w:space="0" w:color="FFFFFF"/>
              <w:left w:val="single" w:sz="4" w:space="0" w:color="FFFFFF"/>
              <w:bottom w:val="nil"/>
              <w:right w:val="single" w:sz="4" w:space="0" w:color="FFFFFF"/>
            </w:tcBorders>
            <w:shd w:val="clear" w:color="D9E1F2" w:fill="D9E1F2"/>
            <w:noWrap/>
            <w:vAlign w:val="bottom"/>
            <w:hideMark/>
          </w:tcPr>
          <w:p w:rsidR="00394262" w:rsidRPr="00394262" w:rsidRDefault="00394262" w:rsidP="00394262">
            <w:pPr>
              <w:spacing w:after="0" w:line="240" w:lineRule="auto"/>
              <w:rPr>
                <w:rFonts w:ascii="Times New Roman" w:hAnsi="Times New Roman"/>
                <w:sz w:val="18"/>
              </w:rPr>
            </w:pPr>
          </w:p>
        </w:tc>
        <w:tc>
          <w:tcPr>
            <w:tcW w:w="1900" w:type="dxa"/>
            <w:tcBorders>
              <w:top w:val="single" w:sz="4" w:space="0" w:color="FFFFFF"/>
              <w:left w:val="single" w:sz="4" w:space="0" w:color="FFFFFF"/>
              <w:bottom w:val="nil"/>
              <w:right w:val="nil"/>
            </w:tcBorders>
            <w:shd w:val="clear" w:color="D9E1F2" w:fill="D9E1F2"/>
            <w:noWrap/>
            <w:vAlign w:val="bottom"/>
            <w:hideMark/>
          </w:tcPr>
          <w:p w:rsidR="00394262" w:rsidRPr="00394262" w:rsidRDefault="0049780C" w:rsidP="005347D1">
            <w:pPr>
              <w:spacing w:after="0" w:line="240" w:lineRule="auto"/>
              <w:rPr>
                <w:b/>
                <w:bCs/>
                <w:color w:val="000000"/>
                <w:sz w:val="18"/>
                <w:szCs w:val="16"/>
              </w:rPr>
            </w:pPr>
            <w:r>
              <w:rPr>
                <w:b/>
                <w:bCs/>
                <w:color w:val="000000"/>
                <w:sz w:val="18"/>
                <w:szCs w:val="16"/>
              </w:rPr>
              <w:t xml:space="preserve"> $  148</w:t>
            </w:r>
            <w:r w:rsidR="008C3BEF">
              <w:rPr>
                <w:b/>
                <w:bCs/>
                <w:color w:val="000000"/>
                <w:sz w:val="18"/>
                <w:szCs w:val="16"/>
              </w:rPr>
              <w:t>.</w:t>
            </w:r>
            <w:r>
              <w:rPr>
                <w:b/>
                <w:bCs/>
                <w:color w:val="000000"/>
                <w:sz w:val="18"/>
                <w:szCs w:val="16"/>
              </w:rPr>
              <w:t>103</w:t>
            </w:r>
            <w:r w:rsidR="008C3BEF">
              <w:rPr>
                <w:b/>
                <w:bCs/>
                <w:color w:val="000000"/>
                <w:sz w:val="18"/>
                <w:szCs w:val="16"/>
              </w:rPr>
              <w:t>.</w:t>
            </w:r>
            <w:r>
              <w:rPr>
                <w:b/>
                <w:bCs/>
                <w:color w:val="000000"/>
                <w:sz w:val="18"/>
                <w:szCs w:val="16"/>
              </w:rPr>
              <w:t>486</w:t>
            </w:r>
            <w:r w:rsidR="00B110B0">
              <w:rPr>
                <w:b/>
                <w:bCs/>
                <w:color w:val="000000"/>
                <w:sz w:val="18"/>
                <w:szCs w:val="16"/>
              </w:rPr>
              <w:t>.</w:t>
            </w:r>
            <w:r w:rsidR="00EE233A">
              <w:rPr>
                <w:b/>
                <w:bCs/>
                <w:color w:val="000000"/>
                <w:sz w:val="18"/>
                <w:szCs w:val="16"/>
              </w:rPr>
              <w:t>000</w:t>
            </w:r>
            <w:r w:rsidR="00394262" w:rsidRPr="00394262">
              <w:rPr>
                <w:b/>
                <w:bCs/>
                <w:color w:val="000000"/>
                <w:sz w:val="18"/>
                <w:szCs w:val="16"/>
              </w:rPr>
              <w:t xml:space="preserve"> </w:t>
            </w:r>
          </w:p>
        </w:tc>
      </w:tr>
      <w:tr w:rsidR="00394262" w:rsidRPr="00394262" w:rsidTr="005347D1">
        <w:trPr>
          <w:trHeight w:val="300"/>
          <w:jc w:val="center"/>
        </w:trPr>
        <w:tc>
          <w:tcPr>
            <w:tcW w:w="3033" w:type="dxa"/>
            <w:gridSpan w:val="2"/>
            <w:tcBorders>
              <w:top w:val="nil"/>
              <w:left w:val="nil"/>
              <w:bottom w:val="nil"/>
              <w:right w:val="nil"/>
            </w:tcBorders>
            <w:shd w:val="clear" w:color="auto" w:fill="auto"/>
            <w:noWrap/>
            <w:vAlign w:val="bottom"/>
            <w:hideMark/>
          </w:tcPr>
          <w:p w:rsidR="00394262" w:rsidRDefault="00394262" w:rsidP="00394262">
            <w:pPr>
              <w:spacing w:after="0" w:line="240" w:lineRule="auto"/>
              <w:rPr>
                <w:b/>
                <w:bCs/>
                <w:color w:val="000000"/>
                <w:sz w:val="18"/>
                <w:szCs w:val="16"/>
              </w:rPr>
            </w:pPr>
            <w:r w:rsidRPr="00394262">
              <w:rPr>
                <w:b/>
                <w:bCs/>
                <w:color w:val="000000"/>
                <w:sz w:val="18"/>
                <w:szCs w:val="16"/>
              </w:rPr>
              <w:t>Fuente: Subdirección Financiera</w:t>
            </w:r>
          </w:p>
          <w:p w:rsidR="00FF6998" w:rsidRPr="00394262" w:rsidRDefault="00FF6998" w:rsidP="00394262">
            <w:pPr>
              <w:spacing w:after="0" w:line="240" w:lineRule="auto"/>
              <w:rPr>
                <w:b/>
                <w:bCs/>
                <w:color w:val="000000"/>
                <w:sz w:val="18"/>
                <w:szCs w:val="16"/>
              </w:rPr>
            </w:pPr>
          </w:p>
        </w:tc>
        <w:tc>
          <w:tcPr>
            <w:tcW w:w="2045" w:type="dxa"/>
            <w:tcBorders>
              <w:top w:val="nil"/>
              <w:left w:val="nil"/>
              <w:bottom w:val="nil"/>
              <w:right w:val="nil"/>
            </w:tcBorders>
            <w:shd w:val="clear" w:color="auto" w:fill="auto"/>
            <w:noWrap/>
            <w:vAlign w:val="bottom"/>
            <w:hideMark/>
          </w:tcPr>
          <w:p w:rsidR="00394262" w:rsidRPr="00394262" w:rsidRDefault="00394262" w:rsidP="00394262">
            <w:pPr>
              <w:spacing w:after="0" w:line="240" w:lineRule="auto"/>
              <w:rPr>
                <w:b/>
                <w:bCs/>
                <w:color w:val="000000"/>
                <w:sz w:val="18"/>
                <w:szCs w:val="16"/>
              </w:rPr>
            </w:pPr>
          </w:p>
        </w:tc>
        <w:tc>
          <w:tcPr>
            <w:tcW w:w="2004" w:type="dxa"/>
            <w:tcBorders>
              <w:top w:val="nil"/>
              <w:left w:val="nil"/>
              <w:bottom w:val="nil"/>
              <w:right w:val="nil"/>
            </w:tcBorders>
            <w:shd w:val="clear" w:color="auto" w:fill="auto"/>
            <w:noWrap/>
            <w:vAlign w:val="bottom"/>
            <w:hideMark/>
          </w:tcPr>
          <w:p w:rsidR="00394262" w:rsidRPr="00394262" w:rsidRDefault="00394262" w:rsidP="00394262">
            <w:pPr>
              <w:spacing w:after="0" w:line="240" w:lineRule="auto"/>
              <w:rPr>
                <w:rFonts w:ascii="Times New Roman" w:hAnsi="Times New Roman"/>
                <w:sz w:val="18"/>
              </w:rPr>
            </w:pPr>
          </w:p>
        </w:tc>
        <w:tc>
          <w:tcPr>
            <w:tcW w:w="1900" w:type="dxa"/>
            <w:tcBorders>
              <w:top w:val="nil"/>
              <w:left w:val="nil"/>
              <w:bottom w:val="nil"/>
              <w:right w:val="nil"/>
            </w:tcBorders>
            <w:shd w:val="clear" w:color="auto" w:fill="auto"/>
            <w:noWrap/>
            <w:vAlign w:val="bottom"/>
            <w:hideMark/>
          </w:tcPr>
          <w:p w:rsidR="00394262" w:rsidRPr="00394262" w:rsidRDefault="00394262" w:rsidP="00394262">
            <w:pPr>
              <w:spacing w:after="0" w:line="240" w:lineRule="auto"/>
              <w:rPr>
                <w:rFonts w:ascii="Times New Roman" w:hAnsi="Times New Roman"/>
                <w:sz w:val="18"/>
              </w:rPr>
            </w:pPr>
          </w:p>
        </w:tc>
      </w:tr>
    </w:tbl>
    <w:p w:rsidR="00FF6998" w:rsidRPr="0027571E" w:rsidRDefault="00EE233A" w:rsidP="00FF6998">
      <w:pPr>
        <w:pStyle w:val="CUERPO1"/>
        <w:spacing w:after="0" w:line="276" w:lineRule="auto"/>
        <w:rPr>
          <w:color w:val="FF0000"/>
          <w:sz w:val="22"/>
          <w:szCs w:val="22"/>
          <w:lang w:val="es-MX"/>
        </w:rPr>
      </w:pPr>
      <w:r>
        <w:rPr>
          <w:sz w:val="22"/>
          <w:szCs w:val="22"/>
          <w:lang w:val="es-MX"/>
        </w:rPr>
        <w:t xml:space="preserve"> S</w:t>
      </w:r>
      <w:r w:rsidR="00FF6998" w:rsidRPr="00857A07">
        <w:rPr>
          <w:sz w:val="22"/>
          <w:szCs w:val="22"/>
          <w:lang w:val="es-MX"/>
        </w:rPr>
        <w:t xml:space="preserve">e observa la alta participación de los gastos de funcionamiento </w:t>
      </w:r>
      <w:r w:rsidR="00FF6998">
        <w:rPr>
          <w:sz w:val="22"/>
          <w:szCs w:val="22"/>
          <w:lang w:val="es-MX"/>
        </w:rPr>
        <w:t>por</w:t>
      </w:r>
      <w:r w:rsidR="00FF6998" w:rsidRPr="00857A07">
        <w:rPr>
          <w:sz w:val="22"/>
          <w:szCs w:val="22"/>
          <w:lang w:val="es-MX"/>
        </w:rPr>
        <w:t xml:space="preserve"> un total de </w:t>
      </w:r>
      <w:r w:rsidR="00FF6998" w:rsidRPr="00857A07">
        <w:rPr>
          <w:color w:val="000000"/>
          <w:sz w:val="22"/>
          <w:szCs w:val="22"/>
        </w:rPr>
        <w:t>$</w:t>
      </w:r>
      <w:r w:rsidR="00FF6998">
        <w:rPr>
          <w:color w:val="000000"/>
          <w:sz w:val="22"/>
          <w:szCs w:val="22"/>
        </w:rPr>
        <w:t>132.245.101</w:t>
      </w:r>
      <w:r w:rsidR="00FF6998" w:rsidRPr="00857A07">
        <w:rPr>
          <w:color w:val="000000"/>
          <w:sz w:val="22"/>
          <w:szCs w:val="22"/>
        </w:rPr>
        <w:t>.000</w:t>
      </w:r>
      <w:r w:rsidR="00FF6998">
        <w:rPr>
          <w:color w:val="000000"/>
          <w:sz w:val="22"/>
          <w:szCs w:val="22"/>
        </w:rPr>
        <w:t>, que equivale al 89.3%,</w:t>
      </w:r>
      <w:r w:rsidR="00FF6998" w:rsidRPr="00857A07">
        <w:rPr>
          <w:color w:val="000000"/>
          <w:sz w:val="22"/>
          <w:szCs w:val="22"/>
        </w:rPr>
        <w:t xml:space="preserve"> </w:t>
      </w:r>
      <w:r w:rsidR="00FF6998" w:rsidRPr="00857A07">
        <w:rPr>
          <w:sz w:val="22"/>
          <w:szCs w:val="22"/>
          <w:lang w:val="es-MX"/>
        </w:rPr>
        <w:t xml:space="preserve">mientras que los gastos de inversión tienen el </w:t>
      </w:r>
      <w:r w:rsidR="00FF6998">
        <w:rPr>
          <w:sz w:val="22"/>
          <w:szCs w:val="22"/>
          <w:lang w:val="es-MX"/>
        </w:rPr>
        <w:t>10.7</w:t>
      </w:r>
      <w:r w:rsidR="00FF6998" w:rsidRPr="00857A07">
        <w:rPr>
          <w:sz w:val="22"/>
          <w:szCs w:val="22"/>
          <w:lang w:val="es-MX"/>
        </w:rPr>
        <w:t>% restante</w:t>
      </w:r>
      <w:r w:rsidR="00FF6998">
        <w:rPr>
          <w:sz w:val="22"/>
          <w:szCs w:val="22"/>
          <w:lang w:val="es-MX"/>
        </w:rPr>
        <w:t xml:space="preserve"> o sea $ 15.858.385.000</w:t>
      </w:r>
    </w:p>
    <w:p w:rsidR="00394262" w:rsidRDefault="00394262" w:rsidP="00061448">
      <w:pPr>
        <w:pStyle w:val="CUERPO1"/>
        <w:spacing w:after="0" w:line="276" w:lineRule="auto"/>
        <w:jc w:val="center"/>
        <w:rPr>
          <w:b/>
          <w:szCs w:val="22"/>
          <w:lang w:val="es-MX"/>
        </w:rPr>
      </w:pPr>
    </w:p>
    <w:p w:rsidR="00A31C1B" w:rsidRDefault="000845DA" w:rsidP="002408D4">
      <w:pPr>
        <w:pStyle w:val="CUERPO1"/>
        <w:spacing w:line="276" w:lineRule="auto"/>
        <w:rPr>
          <w:color w:val="000000"/>
          <w:sz w:val="22"/>
          <w:szCs w:val="22"/>
          <w:shd w:val="clear" w:color="auto" w:fill="FFFFFF"/>
        </w:rPr>
      </w:pPr>
      <w:r w:rsidRPr="000845DA">
        <w:rPr>
          <w:sz w:val="22"/>
          <w:szCs w:val="22"/>
          <w:lang w:val="es-MX"/>
        </w:rPr>
        <w:t xml:space="preserve">Teniendo en cuenta </w:t>
      </w:r>
      <w:r w:rsidRPr="000845DA">
        <w:rPr>
          <w:color w:val="000000"/>
          <w:sz w:val="22"/>
          <w:szCs w:val="22"/>
          <w:shd w:val="clear" w:color="auto" w:fill="FFFFFF"/>
        </w:rPr>
        <w:t>los actos administrativos mediante los cuales se efectuaron distribuciones y/o traslados de apropiaciones en los rubros, a continuación se presen</w:t>
      </w:r>
      <w:r w:rsidR="00851C37">
        <w:rPr>
          <w:color w:val="000000"/>
          <w:sz w:val="22"/>
          <w:szCs w:val="22"/>
          <w:shd w:val="clear" w:color="auto" w:fill="FFFFFF"/>
        </w:rPr>
        <w:t xml:space="preserve">ta la información con corte a </w:t>
      </w:r>
      <w:r w:rsidR="00807F54">
        <w:rPr>
          <w:color w:val="000000"/>
          <w:sz w:val="22"/>
          <w:szCs w:val="22"/>
          <w:shd w:val="clear" w:color="auto" w:fill="FFFFFF"/>
        </w:rPr>
        <w:t>31 de diciembre</w:t>
      </w:r>
      <w:r w:rsidR="00563BEB">
        <w:rPr>
          <w:color w:val="000000"/>
          <w:sz w:val="22"/>
          <w:szCs w:val="22"/>
          <w:shd w:val="clear" w:color="auto" w:fill="FFFFFF"/>
        </w:rPr>
        <w:t xml:space="preserve"> de 2018 </w:t>
      </w:r>
      <w:r w:rsidR="00733FBC">
        <w:rPr>
          <w:color w:val="000000"/>
          <w:sz w:val="22"/>
          <w:szCs w:val="22"/>
          <w:shd w:val="clear" w:color="auto" w:fill="FFFFFF"/>
        </w:rPr>
        <w:t xml:space="preserve">desglosada en los rubros más significativos del presupuesto para </w:t>
      </w:r>
      <w:r w:rsidR="002408D4">
        <w:rPr>
          <w:color w:val="000000"/>
          <w:sz w:val="22"/>
          <w:szCs w:val="22"/>
          <w:shd w:val="clear" w:color="auto" w:fill="FFFFFF"/>
        </w:rPr>
        <w:t>la unidad ejecutora 01.</w:t>
      </w:r>
      <w:r w:rsidR="00A31C1B" w:rsidRPr="00A31C1B">
        <w:rPr>
          <w:color w:val="000000"/>
          <w:sz w:val="22"/>
          <w:szCs w:val="22"/>
          <w:shd w:val="clear" w:color="auto" w:fill="FFFFFF"/>
        </w:rPr>
        <w:t xml:space="preserve"> </w:t>
      </w:r>
    </w:p>
    <w:p w:rsidR="00A31C1B" w:rsidRDefault="00A31C1B" w:rsidP="002408D4">
      <w:pPr>
        <w:pStyle w:val="CUERPO1"/>
        <w:spacing w:line="276" w:lineRule="auto"/>
        <w:rPr>
          <w:color w:val="000000"/>
          <w:sz w:val="22"/>
          <w:szCs w:val="22"/>
          <w:shd w:val="clear" w:color="auto" w:fill="FFFFFF"/>
        </w:rPr>
      </w:pPr>
    </w:p>
    <w:p w:rsidR="00FF6998" w:rsidRPr="007266E5" w:rsidRDefault="00FF6998" w:rsidP="00FF6998">
      <w:pPr>
        <w:pStyle w:val="CUERPO1"/>
        <w:spacing w:after="0" w:line="276" w:lineRule="auto"/>
        <w:jc w:val="center"/>
        <w:rPr>
          <w:b/>
          <w:sz w:val="18"/>
          <w:szCs w:val="18"/>
          <w:lang w:val="es-MX"/>
        </w:rPr>
      </w:pPr>
      <w:r>
        <w:rPr>
          <w:b/>
          <w:sz w:val="18"/>
          <w:szCs w:val="18"/>
          <w:lang w:val="es-MX"/>
        </w:rPr>
        <w:lastRenderedPageBreak/>
        <w:t>CUADRO 3</w:t>
      </w:r>
    </w:p>
    <w:p w:rsidR="00A31C1B" w:rsidRDefault="00FF6998" w:rsidP="00FF6998">
      <w:pPr>
        <w:pStyle w:val="CUERPO1"/>
        <w:spacing w:line="276" w:lineRule="auto"/>
        <w:jc w:val="center"/>
        <w:rPr>
          <w:color w:val="000000"/>
          <w:sz w:val="22"/>
          <w:szCs w:val="22"/>
          <w:shd w:val="clear" w:color="auto" w:fill="FFFFFF"/>
        </w:rPr>
      </w:pPr>
      <w:r w:rsidRPr="007266E5">
        <w:rPr>
          <w:b/>
          <w:sz w:val="18"/>
          <w:szCs w:val="18"/>
          <w:lang w:val="es-MX"/>
        </w:rPr>
        <w:t>DISTRIBU</w:t>
      </w:r>
      <w:r>
        <w:rPr>
          <w:b/>
          <w:sz w:val="18"/>
          <w:szCs w:val="18"/>
          <w:lang w:val="es-MX"/>
        </w:rPr>
        <w:t>CIÓN DE PRESUPUESTO SERVICIOS PERSONALES Y GASTOS GENERALES</w:t>
      </w:r>
    </w:p>
    <w:tbl>
      <w:tblPr>
        <w:tblW w:w="9072" w:type="dxa"/>
        <w:tblInd w:w="-5" w:type="dxa"/>
        <w:tblCellMar>
          <w:left w:w="70" w:type="dxa"/>
          <w:right w:w="70" w:type="dxa"/>
        </w:tblCellMar>
        <w:tblLook w:val="04A0" w:firstRow="1" w:lastRow="0" w:firstColumn="1" w:lastColumn="0" w:noHBand="0" w:noVBand="1"/>
      </w:tblPr>
      <w:tblGrid>
        <w:gridCol w:w="1601"/>
        <w:gridCol w:w="2085"/>
        <w:gridCol w:w="1843"/>
        <w:gridCol w:w="1760"/>
        <w:gridCol w:w="1783"/>
      </w:tblGrid>
      <w:tr w:rsidR="00FF6998" w:rsidRPr="00FF6998" w:rsidTr="00FF6998">
        <w:trPr>
          <w:trHeight w:val="78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CODIGO PRESUPUESTAL</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APROPIACION VIGENTE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AUTORIZACIONES DE GIRO ACUMULADAS</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EJECUCION AUTORIZACIONES DE GIRO %</w:t>
            </w:r>
          </w:p>
        </w:tc>
      </w:tr>
      <w:tr w:rsidR="00FF6998" w:rsidRPr="00FF6998" w:rsidTr="00FF6998">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3-1-1</w:t>
            </w:r>
          </w:p>
        </w:tc>
        <w:tc>
          <w:tcPr>
            <w:tcW w:w="2085"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SERVICIOS PERSONALES</w:t>
            </w:r>
          </w:p>
        </w:tc>
        <w:tc>
          <w:tcPr>
            <w:tcW w:w="1843"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126,372,098,000.00</w:t>
            </w:r>
          </w:p>
        </w:tc>
        <w:tc>
          <w:tcPr>
            <w:tcW w:w="1760"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126,341,066,151.00</w:t>
            </w:r>
          </w:p>
        </w:tc>
        <w:tc>
          <w:tcPr>
            <w:tcW w:w="1783"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99.98</w:t>
            </w:r>
          </w:p>
        </w:tc>
      </w:tr>
      <w:tr w:rsidR="00FF6998" w:rsidRPr="00FF6998" w:rsidTr="00FF6998">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3-1-2</w:t>
            </w:r>
          </w:p>
        </w:tc>
        <w:tc>
          <w:tcPr>
            <w:tcW w:w="2085"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GASTOS GENERALES</w:t>
            </w:r>
          </w:p>
        </w:tc>
        <w:tc>
          <w:tcPr>
            <w:tcW w:w="1843"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5,873,003,000.00</w:t>
            </w:r>
          </w:p>
        </w:tc>
        <w:tc>
          <w:tcPr>
            <w:tcW w:w="1760"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4,452,311,145.00</w:t>
            </w:r>
          </w:p>
        </w:tc>
        <w:tc>
          <w:tcPr>
            <w:tcW w:w="1783" w:type="dxa"/>
            <w:tcBorders>
              <w:top w:val="nil"/>
              <w:left w:val="nil"/>
              <w:bottom w:val="single" w:sz="4" w:space="0" w:color="auto"/>
              <w:right w:val="single" w:sz="4" w:space="0" w:color="auto"/>
            </w:tcBorders>
            <w:shd w:val="clear" w:color="auto" w:fill="auto"/>
            <w:noWrap/>
            <w:vAlign w:val="bottom"/>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75.81</w:t>
            </w:r>
          </w:p>
        </w:tc>
      </w:tr>
    </w:tbl>
    <w:p w:rsidR="00840874" w:rsidRDefault="00840874" w:rsidP="002408D4">
      <w:pPr>
        <w:pStyle w:val="CUERPO1"/>
        <w:spacing w:line="276" w:lineRule="auto"/>
        <w:rPr>
          <w:color w:val="000000"/>
          <w:sz w:val="22"/>
          <w:szCs w:val="22"/>
          <w:shd w:val="clear" w:color="auto" w:fill="FFFFFF"/>
        </w:rPr>
      </w:pPr>
    </w:p>
    <w:p w:rsidR="00C84850" w:rsidRDefault="00C84850" w:rsidP="002408D4">
      <w:pPr>
        <w:pStyle w:val="CUERPO1"/>
        <w:spacing w:after="0" w:line="276" w:lineRule="auto"/>
        <w:rPr>
          <w:sz w:val="22"/>
          <w:szCs w:val="22"/>
          <w:lang w:val="es-MX"/>
        </w:rPr>
      </w:pPr>
    </w:p>
    <w:p w:rsidR="00100E46" w:rsidRDefault="00100E46" w:rsidP="002408D4">
      <w:pPr>
        <w:pStyle w:val="CUERPO1"/>
        <w:spacing w:after="0" w:line="276" w:lineRule="auto"/>
        <w:rPr>
          <w:sz w:val="22"/>
          <w:szCs w:val="22"/>
          <w:lang w:val="es-MX"/>
        </w:rPr>
      </w:pPr>
      <w:r>
        <w:rPr>
          <w:sz w:val="22"/>
          <w:szCs w:val="22"/>
          <w:lang w:val="es-MX"/>
        </w:rPr>
        <w:t>Del rubro de servicios personales se destacan:</w:t>
      </w:r>
    </w:p>
    <w:p w:rsidR="00B811C7" w:rsidRDefault="00B811C7" w:rsidP="002408D4">
      <w:pPr>
        <w:pStyle w:val="CUERPO1"/>
        <w:spacing w:after="0" w:line="276" w:lineRule="auto"/>
        <w:rPr>
          <w:sz w:val="22"/>
          <w:szCs w:val="22"/>
          <w:lang w:val="es-MX"/>
        </w:rPr>
      </w:pPr>
    </w:p>
    <w:p w:rsidR="0031610B" w:rsidRDefault="00100E46" w:rsidP="0031610B">
      <w:pPr>
        <w:pStyle w:val="CUERPO1"/>
        <w:numPr>
          <w:ilvl w:val="0"/>
          <w:numId w:val="13"/>
        </w:numPr>
        <w:spacing w:after="0" w:line="276" w:lineRule="auto"/>
        <w:rPr>
          <w:sz w:val="22"/>
          <w:szCs w:val="22"/>
          <w:lang w:val="es-MX"/>
        </w:rPr>
      </w:pPr>
      <w:r w:rsidRPr="0031610B">
        <w:rPr>
          <w:b/>
          <w:sz w:val="22"/>
          <w:szCs w:val="22"/>
          <w:lang w:val="es-MX"/>
        </w:rPr>
        <w:t>Sueldo</w:t>
      </w:r>
      <w:r w:rsidR="00343D79" w:rsidRPr="0031610B">
        <w:rPr>
          <w:b/>
          <w:sz w:val="22"/>
          <w:szCs w:val="22"/>
          <w:lang w:val="es-MX"/>
        </w:rPr>
        <w:t>s</w:t>
      </w:r>
      <w:r w:rsidRPr="0031610B">
        <w:rPr>
          <w:b/>
          <w:sz w:val="22"/>
          <w:szCs w:val="22"/>
          <w:lang w:val="es-MX"/>
        </w:rPr>
        <w:t xml:space="preserve"> personal </w:t>
      </w:r>
      <w:r w:rsidR="00343D79" w:rsidRPr="0031610B">
        <w:rPr>
          <w:b/>
          <w:sz w:val="22"/>
          <w:szCs w:val="22"/>
          <w:lang w:val="es-MX"/>
        </w:rPr>
        <w:t>de</w:t>
      </w:r>
      <w:r w:rsidRPr="0031610B">
        <w:rPr>
          <w:b/>
          <w:sz w:val="22"/>
          <w:szCs w:val="22"/>
          <w:lang w:val="es-MX"/>
        </w:rPr>
        <w:t xml:space="preserve"> nómina</w:t>
      </w:r>
      <w:r w:rsidR="008D3B98" w:rsidRPr="0031610B">
        <w:rPr>
          <w:sz w:val="22"/>
          <w:szCs w:val="22"/>
          <w:lang w:val="es-MX"/>
        </w:rPr>
        <w:t xml:space="preserve">: </w:t>
      </w:r>
      <w:r w:rsidR="0031610B" w:rsidRPr="0031610B">
        <w:rPr>
          <w:sz w:val="22"/>
          <w:szCs w:val="22"/>
          <w:lang w:val="es-MX"/>
        </w:rPr>
        <w:t xml:space="preserve">a 31 de diciembre cuenta con un presupuesto asignado de $47.531.172.000 y se </w:t>
      </w:r>
      <w:r w:rsidR="00085D60" w:rsidRPr="0031610B">
        <w:rPr>
          <w:sz w:val="22"/>
          <w:szCs w:val="22"/>
          <w:lang w:val="es-MX"/>
        </w:rPr>
        <w:t>ejecut</w:t>
      </w:r>
      <w:r w:rsidR="0031610B">
        <w:rPr>
          <w:sz w:val="22"/>
          <w:szCs w:val="22"/>
          <w:lang w:val="es-MX"/>
        </w:rPr>
        <w:t>ó</w:t>
      </w:r>
      <w:r w:rsidR="00085D60" w:rsidRPr="0031610B">
        <w:rPr>
          <w:sz w:val="22"/>
          <w:szCs w:val="22"/>
          <w:lang w:val="es-MX"/>
        </w:rPr>
        <w:t xml:space="preserve"> lo siguiente: </w:t>
      </w:r>
      <w:r w:rsidR="00510A72" w:rsidRPr="0031610B">
        <w:rPr>
          <w:sz w:val="22"/>
          <w:szCs w:val="22"/>
          <w:lang w:val="es-MX"/>
        </w:rPr>
        <w:t>gastos de representaci</w:t>
      </w:r>
      <w:r w:rsidR="00807F54" w:rsidRPr="0031610B">
        <w:rPr>
          <w:sz w:val="22"/>
          <w:szCs w:val="22"/>
          <w:lang w:val="es-MX"/>
        </w:rPr>
        <w:t>ón ($</w:t>
      </w:r>
      <w:r w:rsidR="00DB49EC" w:rsidRPr="0031610B">
        <w:rPr>
          <w:sz w:val="22"/>
          <w:szCs w:val="22"/>
          <w:lang w:val="es-MX"/>
        </w:rPr>
        <w:t>4.335.492.943</w:t>
      </w:r>
      <w:r w:rsidR="00510A72" w:rsidRPr="0031610B">
        <w:rPr>
          <w:sz w:val="22"/>
          <w:szCs w:val="22"/>
          <w:lang w:val="es-MX"/>
        </w:rPr>
        <w:t>); Horas Extras, Dominicales, Festivos, Recargo Nocturno y Trabajo Suplementario</w:t>
      </w:r>
      <w:r w:rsidR="00807F54" w:rsidRPr="0031610B">
        <w:rPr>
          <w:sz w:val="22"/>
          <w:szCs w:val="22"/>
          <w:lang w:val="es-MX"/>
        </w:rPr>
        <w:t xml:space="preserve"> ($382.</w:t>
      </w:r>
      <w:r w:rsidR="00DB49EC" w:rsidRPr="0031610B">
        <w:rPr>
          <w:sz w:val="22"/>
          <w:szCs w:val="22"/>
          <w:lang w:val="es-MX"/>
        </w:rPr>
        <w:t>181.804</w:t>
      </w:r>
      <w:r w:rsidR="00F82C97" w:rsidRPr="0031610B">
        <w:rPr>
          <w:sz w:val="22"/>
          <w:szCs w:val="22"/>
          <w:lang w:val="es-MX"/>
        </w:rPr>
        <w:t>); Auxilio de Transporte ($</w:t>
      </w:r>
      <w:r w:rsidR="00807F54" w:rsidRPr="0031610B">
        <w:rPr>
          <w:sz w:val="22"/>
          <w:szCs w:val="22"/>
          <w:lang w:val="es-MX"/>
        </w:rPr>
        <w:t>60.074.642</w:t>
      </w:r>
      <w:r w:rsidR="00F82C97" w:rsidRPr="0031610B">
        <w:rPr>
          <w:sz w:val="22"/>
          <w:szCs w:val="22"/>
          <w:lang w:val="es-MX"/>
        </w:rPr>
        <w:t>); Subsidio de Alimentación ($</w:t>
      </w:r>
      <w:r w:rsidR="00807F54" w:rsidRPr="0031610B">
        <w:rPr>
          <w:sz w:val="22"/>
          <w:szCs w:val="22"/>
          <w:lang w:val="es-MX"/>
        </w:rPr>
        <w:t>62.007.375)</w:t>
      </w:r>
      <w:r w:rsidR="00F82C97" w:rsidRPr="0031610B">
        <w:rPr>
          <w:sz w:val="22"/>
          <w:szCs w:val="22"/>
          <w:lang w:val="es-MX"/>
        </w:rPr>
        <w:t>; Bonificación por Servicios Prestados ($1</w:t>
      </w:r>
      <w:r w:rsidR="000C631B" w:rsidRPr="0031610B">
        <w:rPr>
          <w:sz w:val="22"/>
          <w:szCs w:val="22"/>
          <w:lang w:val="es-MX"/>
        </w:rPr>
        <w:t>.</w:t>
      </w:r>
      <w:r w:rsidR="00807F54" w:rsidRPr="0031610B">
        <w:rPr>
          <w:sz w:val="22"/>
          <w:szCs w:val="22"/>
          <w:lang w:val="es-MX"/>
        </w:rPr>
        <w:t>508.462.420</w:t>
      </w:r>
      <w:r w:rsidR="00F82C97" w:rsidRPr="0031610B">
        <w:rPr>
          <w:sz w:val="22"/>
          <w:szCs w:val="22"/>
          <w:lang w:val="es-MX"/>
        </w:rPr>
        <w:t>); Prima Semestral ($</w:t>
      </w:r>
      <w:r w:rsidR="00085D60" w:rsidRPr="0031610B">
        <w:rPr>
          <w:sz w:val="22"/>
          <w:szCs w:val="22"/>
          <w:lang w:val="es-MX"/>
        </w:rPr>
        <w:t>7.512.000.044</w:t>
      </w:r>
      <w:r w:rsidR="00F82C97" w:rsidRPr="0031610B">
        <w:rPr>
          <w:sz w:val="22"/>
          <w:szCs w:val="22"/>
          <w:lang w:val="es-MX"/>
        </w:rPr>
        <w:t>); Prima de Navidad ($</w:t>
      </w:r>
      <w:r w:rsidR="00807F54" w:rsidRPr="0031610B">
        <w:rPr>
          <w:sz w:val="22"/>
          <w:szCs w:val="22"/>
          <w:lang w:val="es-MX"/>
        </w:rPr>
        <w:t>6.969.904.241</w:t>
      </w:r>
      <w:r w:rsidR="00F82C97" w:rsidRPr="0031610B">
        <w:rPr>
          <w:sz w:val="22"/>
          <w:szCs w:val="22"/>
          <w:lang w:val="es-MX"/>
        </w:rPr>
        <w:t>); Prima de Vacaciones</w:t>
      </w:r>
      <w:r w:rsidR="000512A6" w:rsidRPr="0031610B">
        <w:rPr>
          <w:sz w:val="22"/>
          <w:szCs w:val="22"/>
          <w:lang w:val="es-MX"/>
        </w:rPr>
        <w:t xml:space="preserve"> </w:t>
      </w:r>
      <w:r w:rsidR="00FB7CDA" w:rsidRPr="0031610B">
        <w:rPr>
          <w:sz w:val="22"/>
          <w:szCs w:val="22"/>
          <w:lang w:val="es-MX"/>
        </w:rPr>
        <w:t>(</w:t>
      </w:r>
      <w:r w:rsidR="00085D60" w:rsidRPr="0031610B">
        <w:rPr>
          <w:sz w:val="22"/>
          <w:szCs w:val="22"/>
          <w:lang w:val="es-MX"/>
        </w:rPr>
        <w:t>$</w:t>
      </w:r>
      <w:r w:rsidR="00DB49EC" w:rsidRPr="0031610B">
        <w:rPr>
          <w:sz w:val="22"/>
          <w:szCs w:val="22"/>
          <w:lang w:val="es-MX"/>
        </w:rPr>
        <w:t>2.947</w:t>
      </w:r>
      <w:r w:rsidR="00085D60" w:rsidRPr="0031610B">
        <w:rPr>
          <w:sz w:val="22"/>
          <w:szCs w:val="22"/>
          <w:lang w:val="es-MX"/>
        </w:rPr>
        <w:t>.</w:t>
      </w:r>
      <w:r w:rsidR="00DB49EC" w:rsidRPr="0031610B">
        <w:rPr>
          <w:sz w:val="22"/>
          <w:szCs w:val="22"/>
          <w:lang w:val="es-MX"/>
        </w:rPr>
        <w:t>166.303</w:t>
      </w:r>
      <w:r w:rsidR="00F82C97" w:rsidRPr="0031610B">
        <w:rPr>
          <w:sz w:val="22"/>
          <w:szCs w:val="22"/>
          <w:lang w:val="es-MX"/>
        </w:rPr>
        <w:t>); Prima Técnica ($1</w:t>
      </w:r>
      <w:r w:rsidR="00DB49EC" w:rsidRPr="0031610B">
        <w:rPr>
          <w:sz w:val="22"/>
          <w:szCs w:val="22"/>
          <w:lang w:val="es-MX"/>
        </w:rPr>
        <w:t>7.942.280.254)</w:t>
      </w:r>
      <w:r w:rsidR="00F82C97" w:rsidRPr="0031610B">
        <w:rPr>
          <w:sz w:val="22"/>
          <w:szCs w:val="22"/>
          <w:lang w:val="es-MX"/>
        </w:rPr>
        <w:t>; Prima de Antigüedad ($1</w:t>
      </w:r>
      <w:r w:rsidR="000C631B" w:rsidRPr="0031610B">
        <w:rPr>
          <w:sz w:val="22"/>
          <w:szCs w:val="22"/>
          <w:lang w:val="es-MX"/>
        </w:rPr>
        <w:t>.</w:t>
      </w:r>
      <w:r w:rsidR="00807F54" w:rsidRPr="0031610B">
        <w:rPr>
          <w:sz w:val="22"/>
          <w:szCs w:val="22"/>
          <w:lang w:val="es-MX"/>
        </w:rPr>
        <w:t>427.463.870</w:t>
      </w:r>
      <w:r w:rsidR="00F82C97" w:rsidRPr="0031610B">
        <w:rPr>
          <w:sz w:val="22"/>
          <w:szCs w:val="22"/>
          <w:lang w:val="es-MX"/>
        </w:rPr>
        <w:t>); Prima Secretarial ($</w:t>
      </w:r>
      <w:r w:rsidR="00807F54" w:rsidRPr="0031610B">
        <w:rPr>
          <w:sz w:val="22"/>
          <w:szCs w:val="22"/>
          <w:lang w:val="es-MX"/>
        </w:rPr>
        <w:t>39.874.219</w:t>
      </w:r>
      <w:r w:rsidR="00111DBD" w:rsidRPr="0031610B">
        <w:rPr>
          <w:sz w:val="22"/>
          <w:szCs w:val="22"/>
          <w:lang w:val="es-MX"/>
        </w:rPr>
        <w:t>)</w:t>
      </w:r>
      <w:r w:rsidR="00F82C97" w:rsidRPr="0031610B">
        <w:rPr>
          <w:sz w:val="22"/>
          <w:szCs w:val="22"/>
          <w:lang w:val="es-MX"/>
        </w:rPr>
        <w:t>; Bonificación Especial de Recreación ($</w:t>
      </w:r>
      <w:r w:rsidR="00807F54" w:rsidRPr="0031610B">
        <w:rPr>
          <w:sz w:val="22"/>
          <w:szCs w:val="22"/>
          <w:lang w:val="es-MX"/>
        </w:rPr>
        <w:t>224.530.697</w:t>
      </w:r>
      <w:r w:rsidR="00F82C97" w:rsidRPr="0031610B">
        <w:rPr>
          <w:sz w:val="22"/>
          <w:szCs w:val="22"/>
          <w:lang w:val="es-MX"/>
        </w:rPr>
        <w:t xml:space="preserve">); </w:t>
      </w:r>
      <w:r w:rsidR="00DB49EC" w:rsidRPr="0031610B">
        <w:rPr>
          <w:sz w:val="22"/>
          <w:szCs w:val="22"/>
          <w:lang w:val="es-MX"/>
        </w:rPr>
        <w:t xml:space="preserve">Vacaciones en dinero ($540.767.765): </w:t>
      </w:r>
      <w:r w:rsidR="00F82C97" w:rsidRPr="0031610B">
        <w:rPr>
          <w:sz w:val="22"/>
          <w:szCs w:val="22"/>
          <w:lang w:val="es-MX"/>
        </w:rPr>
        <w:t>Reconocimiento por Permanencia en el Servicio Público (</w:t>
      </w:r>
      <w:r w:rsidR="00447C73" w:rsidRPr="0031610B">
        <w:rPr>
          <w:sz w:val="22"/>
          <w:szCs w:val="22"/>
          <w:lang w:val="es-MX"/>
        </w:rPr>
        <w:t>$</w:t>
      </w:r>
      <w:r w:rsidR="00807F54" w:rsidRPr="0031610B">
        <w:rPr>
          <w:sz w:val="22"/>
          <w:szCs w:val="22"/>
          <w:lang w:val="es-MX"/>
        </w:rPr>
        <w:t>882.809.912</w:t>
      </w:r>
      <w:r w:rsidR="00F82C97" w:rsidRPr="0031610B">
        <w:rPr>
          <w:sz w:val="22"/>
          <w:szCs w:val="22"/>
          <w:lang w:val="es-MX"/>
        </w:rPr>
        <w:t>)</w:t>
      </w:r>
      <w:r w:rsidR="0031610B">
        <w:rPr>
          <w:sz w:val="22"/>
          <w:szCs w:val="22"/>
          <w:lang w:val="es-MX"/>
        </w:rPr>
        <w:t>, para un total de $</w:t>
      </w:r>
      <w:r w:rsidR="00A915FE">
        <w:rPr>
          <w:sz w:val="22"/>
          <w:szCs w:val="22"/>
          <w:lang w:val="es-MX"/>
        </w:rPr>
        <w:t>47.530.796.066</w:t>
      </w:r>
      <w:r w:rsidR="0031610B">
        <w:rPr>
          <w:sz w:val="22"/>
          <w:szCs w:val="22"/>
          <w:lang w:val="es-MX"/>
        </w:rPr>
        <w:t xml:space="preserve"> que eq</w:t>
      </w:r>
      <w:r w:rsidR="00A915FE">
        <w:rPr>
          <w:sz w:val="22"/>
          <w:szCs w:val="22"/>
          <w:lang w:val="es-MX"/>
        </w:rPr>
        <w:t>uivale al 100</w:t>
      </w:r>
      <w:r w:rsidR="0031610B">
        <w:rPr>
          <w:sz w:val="22"/>
          <w:szCs w:val="22"/>
          <w:lang w:val="es-MX"/>
        </w:rPr>
        <w:t>%</w:t>
      </w:r>
    </w:p>
    <w:p w:rsidR="00167ED7" w:rsidRDefault="00167ED7" w:rsidP="00167ED7">
      <w:pPr>
        <w:pStyle w:val="CUERPO1"/>
        <w:spacing w:after="0" w:line="276" w:lineRule="auto"/>
        <w:ind w:left="720"/>
        <w:rPr>
          <w:sz w:val="22"/>
          <w:szCs w:val="22"/>
          <w:lang w:val="es-MX"/>
        </w:rPr>
      </w:pPr>
    </w:p>
    <w:p w:rsidR="00100E46" w:rsidRDefault="00100E46" w:rsidP="002408D4">
      <w:pPr>
        <w:pStyle w:val="CUERPO1"/>
        <w:numPr>
          <w:ilvl w:val="0"/>
          <w:numId w:val="13"/>
        </w:numPr>
        <w:spacing w:after="0" w:line="276" w:lineRule="auto"/>
        <w:rPr>
          <w:sz w:val="22"/>
          <w:szCs w:val="22"/>
          <w:lang w:val="es-MX"/>
        </w:rPr>
      </w:pPr>
      <w:r w:rsidRPr="002408D4">
        <w:rPr>
          <w:b/>
          <w:sz w:val="22"/>
          <w:szCs w:val="22"/>
          <w:lang w:val="es-MX"/>
        </w:rPr>
        <w:t>Servicios personales indirectos</w:t>
      </w:r>
      <w:r w:rsidR="00807F54">
        <w:rPr>
          <w:sz w:val="22"/>
          <w:szCs w:val="22"/>
          <w:lang w:val="es-MX"/>
        </w:rPr>
        <w:t>: a 31 de diciembre</w:t>
      </w:r>
      <w:r w:rsidR="008D3B98">
        <w:rPr>
          <w:sz w:val="22"/>
          <w:szCs w:val="22"/>
          <w:lang w:val="es-MX"/>
        </w:rPr>
        <w:t xml:space="preserve"> cuenta co</w:t>
      </w:r>
      <w:r w:rsidR="00A666BD">
        <w:rPr>
          <w:sz w:val="22"/>
          <w:szCs w:val="22"/>
          <w:lang w:val="es-MX"/>
        </w:rPr>
        <w:t>n</w:t>
      </w:r>
      <w:r w:rsidR="000D0A44">
        <w:rPr>
          <w:sz w:val="22"/>
          <w:szCs w:val="22"/>
          <w:lang w:val="es-MX"/>
        </w:rPr>
        <w:t xml:space="preserve"> un presup</w:t>
      </w:r>
      <w:r w:rsidR="00FB7CDA">
        <w:rPr>
          <w:sz w:val="22"/>
          <w:szCs w:val="22"/>
          <w:lang w:val="es-MX"/>
        </w:rPr>
        <w:t>uesto asignado</w:t>
      </w:r>
      <w:r w:rsidR="00555A54">
        <w:rPr>
          <w:sz w:val="22"/>
          <w:szCs w:val="22"/>
          <w:lang w:val="es-MX"/>
        </w:rPr>
        <w:t xml:space="preserve"> de $2.</w:t>
      </w:r>
      <w:r w:rsidR="009A2BCD">
        <w:rPr>
          <w:sz w:val="22"/>
          <w:szCs w:val="22"/>
          <w:lang w:val="es-MX"/>
        </w:rPr>
        <w:t>419</w:t>
      </w:r>
      <w:r w:rsidR="00555A54">
        <w:rPr>
          <w:sz w:val="22"/>
          <w:szCs w:val="22"/>
          <w:lang w:val="es-MX"/>
        </w:rPr>
        <w:t>.</w:t>
      </w:r>
      <w:r w:rsidR="009A2BCD">
        <w:rPr>
          <w:sz w:val="22"/>
          <w:szCs w:val="22"/>
          <w:lang w:val="es-MX"/>
        </w:rPr>
        <w:t>173.000</w:t>
      </w:r>
      <w:r w:rsidR="00555A54">
        <w:rPr>
          <w:sz w:val="22"/>
          <w:szCs w:val="22"/>
          <w:lang w:val="es-MX"/>
        </w:rPr>
        <w:t xml:space="preserve"> y se ejecutó </w:t>
      </w:r>
      <w:r w:rsidR="0044561B">
        <w:rPr>
          <w:sz w:val="22"/>
          <w:szCs w:val="22"/>
          <w:lang w:val="es-MX"/>
        </w:rPr>
        <w:t>lo siguiente:</w:t>
      </w:r>
      <w:r w:rsidR="008D3B98">
        <w:rPr>
          <w:sz w:val="22"/>
          <w:szCs w:val="22"/>
          <w:lang w:val="es-MX"/>
        </w:rPr>
        <w:t xml:space="preserve"> </w:t>
      </w:r>
      <w:r w:rsidR="008D3B98" w:rsidRPr="008D3B98">
        <w:rPr>
          <w:sz w:val="22"/>
          <w:szCs w:val="22"/>
          <w:lang w:val="es-MX"/>
        </w:rPr>
        <w:t>Honorarios</w:t>
      </w:r>
      <w:r w:rsidR="00555A54">
        <w:rPr>
          <w:sz w:val="22"/>
          <w:szCs w:val="22"/>
          <w:lang w:val="es-MX"/>
        </w:rPr>
        <w:t xml:space="preserve"> Entidad ($2.</w:t>
      </w:r>
      <w:r w:rsidR="009A2BCD">
        <w:rPr>
          <w:sz w:val="22"/>
          <w:szCs w:val="22"/>
          <w:lang w:val="es-MX"/>
        </w:rPr>
        <w:t>077.677.302</w:t>
      </w:r>
      <w:r w:rsidR="000D0A44">
        <w:rPr>
          <w:sz w:val="22"/>
          <w:szCs w:val="22"/>
          <w:lang w:val="es-MX"/>
        </w:rPr>
        <w:t>),</w:t>
      </w:r>
      <w:r w:rsidR="008D3B98">
        <w:rPr>
          <w:sz w:val="22"/>
          <w:szCs w:val="22"/>
          <w:lang w:val="es-MX"/>
        </w:rPr>
        <w:t xml:space="preserve"> </w:t>
      </w:r>
      <w:r w:rsidR="008D3B98" w:rsidRPr="008D3B98">
        <w:rPr>
          <w:sz w:val="22"/>
          <w:szCs w:val="22"/>
          <w:lang w:val="es-MX"/>
        </w:rPr>
        <w:t>Remuneración Servicios Técnicos</w:t>
      </w:r>
      <w:r w:rsidR="008D3B98">
        <w:rPr>
          <w:sz w:val="22"/>
          <w:szCs w:val="22"/>
          <w:lang w:val="es-MX"/>
        </w:rPr>
        <w:t xml:space="preserve"> ($</w:t>
      </w:r>
      <w:r w:rsidR="00555A54">
        <w:rPr>
          <w:sz w:val="22"/>
          <w:szCs w:val="22"/>
          <w:lang w:val="es-MX"/>
        </w:rPr>
        <w:t>31</w:t>
      </w:r>
      <w:r w:rsidR="009A2BCD">
        <w:rPr>
          <w:sz w:val="22"/>
          <w:szCs w:val="22"/>
          <w:lang w:val="es-MX"/>
        </w:rPr>
        <w:t>1</w:t>
      </w:r>
      <w:r w:rsidR="00555A54">
        <w:rPr>
          <w:sz w:val="22"/>
          <w:szCs w:val="22"/>
          <w:lang w:val="es-MX"/>
        </w:rPr>
        <w:t>.</w:t>
      </w:r>
      <w:r w:rsidR="009A2BCD">
        <w:rPr>
          <w:sz w:val="22"/>
          <w:szCs w:val="22"/>
          <w:lang w:val="es-MX"/>
        </w:rPr>
        <w:t>706</w:t>
      </w:r>
      <w:r w:rsidR="00555A54">
        <w:rPr>
          <w:sz w:val="22"/>
          <w:szCs w:val="22"/>
          <w:lang w:val="es-MX"/>
        </w:rPr>
        <w:t>.</w:t>
      </w:r>
      <w:r w:rsidR="009A2BCD">
        <w:rPr>
          <w:sz w:val="22"/>
          <w:szCs w:val="22"/>
          <w:lang w:val="es-MX"/>
        </w:rPr>
        <w:t>665</w:t>
      </w:r>
      <w:r w:rsidR="000D0A44">
        <w:rPr>
          <w:sz w:val="22"/>
          <w:szCs w:val="22"/>
          <w:lang w:val="es-MX"/>
        </w:rPr>
        <w:t xml:space="preserve">) y </w:t>
      </w:r>
      <w:r w:rsidR="00111DBD">
        <w:rPr>
          <w:sz w:val="22"/>
          <w:szCs w:val="22"/>
          <w:lang w:val="es-MX"/>
        </w:rPr>
        <w:t>ot</w:t>
      </w:r>
      <w:r w:rsidR="006247BC">
        <w:rPr>
          <w:sz w:val="22"/>
          <w:szCs w:val="22"/>
          <w:lang w:val="es-MX"/>
        </w:rPr>
        <w:t>ros gastos de personal ($759.479</w:t>
      </w:r>
      <w:r w:rsidR="000D0A44">
        <w:rPr>
          <w:sz w:val="22"/>
          <w:szCs w:val="22"/>
          <w:lang w:val="es-MX"/>
        </w:rPr>
        <w:t>)</w:t>
      </w:r>
      <w:r w:rsidR="00DB0522">
        <w:rPr>
          <w:sz w:val="22"/>
          <w:szCs w:val="22"/>
          <w:lang w:val="es-MX"/>
        </w:rPr>
        <w:t>, para un total de $2.390.143.446 que equivale al 98.8%</w:t>
      </w:r>
    </w:p>
    <w:p w:rsidR="00B811C7" w:rsidRDefault="00B811C7" w:rsidP="00B811C7">
      <w:pPr>
        <w:pStyle w:val="CUERPO1"/>
        <w:spacing w:after="0" w:line="276" w:lineRule="auto"/>
        <w:rPr>
          <w:sz w:val="22"/>
          <w:szCs w:val="22"/>
          <w:lang w:val="es-MX"/>
        </w:rPr>
      </w:pPr>
    </w:p>
    <w:p w:rsidR="0044561B" w:rsidRDefault="00100E46" w:rsidP="0044561B">
      <w:pPr>
        <w:pStyle w:val="CUERPO1"/>
        <w:numPr>
          <w:ilvl w:val="0"/>
          <w:numId w:val="13"/>
        </w:numPr>
        <w:spacing w:after="0" w:line="276" w:lineRule="auto"/>
        <w:rPr>
          <w:sz w:val="22"/>
          <w:szCs w:val="22"/>
          <w:lang w:val="es-MX"/>
        </w:rPr>
      </w:pPr>
      <w:r w:rsidRPr="00430EA8">
        <w:rPr>
          <w:b/>
          <w:sz w:val="22"/>
          <w:szCs w:val="22"/>
          <w:lang w:val="es-MX"/>
        </w:rPr>
        <w:t>Aportes patronales al sector privado y p</w:t>
      </w:r>
      <w:r w:rsidR="008D3B98" w:rsidRPr="00430EA8">
        <w:rPr>
          <w:b/>
          <w:sz w:val="22"/>
          <w:szCs w:val="22"/>
          <w:lang w:val="es-MX"/>
        </w:rPr>
        <w:t>úblico</w:t>
      </w:r>
      <w:r w:rsidR="00555A54">
        <w:rPr>
          <w:sz w:val="22"/>
          <w:szCs w:val="22"/>
          <w:lang w:val="es-MX"/>
        </w:rPr>
        <w:t xml:space="preserve">: </w:t>
      </w:r>
      <w:r w:rsidR="0044561B" w:rsidRPr="0031610B">
        <w:rPr>
          <w:sz w:val="22"/>
          <w:szCs w:val="22"/>
          <w:lang w:val="es-MX"/>
        </w:rPr>
        <w:t xml:space="preserve">a 31 de diciembre cuenta con un presupuesto asignado de </w:t>
      </w:r>
      <w:r w:rsidR="0044561B" w:rsidRPr="00430EA8">
        <w:rPr>
          <w:sz w:val="22"/>
          <w:szCs w:val="22"/>
          <w:lang w:val="es-MX"/>
        </w:rPr>
        <w:t>$</w:t>
      </w:r>
      <w:r w:rsidR="0044561B">
        <w:rPr>
          <w:sz w:val="22"/>
          <w:szCs w:val="22"/>
          <w:lang w:val="es-MX"/>
        </w:rPr>
        <w:t>31.585.957.000</w:t>
      </w:r>
      <w:r w:rsidR="0044561B" w:rsidRPr="00430EA8">
        <w:rPr>
          <w:sz w:val="22"/>
          <w:szCs w:val="22"/>
          <w:lang w:val="es-MX"/>
        </w:rPr>
        <w:t xml:space="preserve"> </w:t>
      </w:r>
      <w:r w:rsidR="0044561B" w:rsidRPr="0031610B">
        <w:rPr>
          <w:sz w:val="22"/>
          <w:szCs w:val="22"/>
          <w:lang w:val="es-MX"/>
        </w:rPr>
        <w:t>y se ejecut</w:t>
      </w:r>
      <w:r w:rsidR="0044561B">
        <w:rPr>
          <w:sz w:val="22"/>
          <w:szCs w:val="22"/>
          <w:lang w:val="es-MX"/>
        </w:rPr>
        <w:t>ó</w:t>
      </w:r>
      <w:r w:rsidR="0044561B" w:rsidRPr="0031610B">
        <w:rPr>
          <w:sz w:val="22"/>
          <w:szCs w:val="22"/>
          <w:lang w:val="es-MX"/>
        </w:rPr>
        <w:t xml:space="preserve"> lo siguiente:</w:t>
      </w:r>
      <w:r w:rsidR="0044561B">
        <w:rPr>
          <w:sz w:val="22"/>
          <w:szCs w:val="22"/>
          <w:lang w:val="es-MX"/>
        </w:rPr>
        <w:t xml:space="preserve"> </w:t>
      </w:r>
      <w:r w:rsidR="008D3B98" w:rsidRPr="00430EA8">
        <w:rPr>
          <w:sz w:val="22"/>
          <w:szCs w:val="22"/>
          <w:lang w:val="es-MX"/>
        </w:rPr>
        <w:t>Cesan</w:t>
      </w:r>
      <w:r w:rsidR="00063AAA">
        <w:rPr>
          <w:sz w:val="22"/>
          <w:szCs w:val="22"/>
          <w:lang w:val="es-MX"/>
        </w:rPr>
        <w:t>tías</w:t>
      </w:r>
      <w:r w:rsidR="006247BC">
        <w:rPr>
          <w:sz w:val="22"/>
          <w:szCs w:val="22"/>
          <w:lang w:val="es-MX"/>
        </w:rPr>
        <w:t xml:space="preserve"> Fondos Privado</w:t>
      </w:r>
      <w:r w:rsidR="00555A54">
        <w:rPr>
          <w:sz w:val="22"/>
          <w:szCs w:val="22"/>
          <w:lang w:val="es-MX"/>
        </w:rPr>
        <w:t>s ($2.219.891.567</w:t>
      </w:r>
      <w:r w:rsidR="00111DBD">
        <w:rPr>
          <w:sz w:val="22"/>
          <w:szCs w:val="22"/>
          <w:lang w:val="es-MX"/>
        </w:rPr>
        <w:t>); Pensiones</w:t>
      </w:r>
      <w:r w:rsidR="00555A54">
        <w:rPr>
          <w:sz w:val="22"/>
          <w:szCs w:val="22"/>
          <w:lang w:val="es-MX"/>
        </w:rPr>
        <w:t xml:space="preserve"> Fondos Privados ($2.703.266.300</w:t>
      </w:r>
      <w:r w:rsidR="00063AAA">
        <w:rPr>
          <w:sz w:val="22"/>
          <w:szCs w:val="22"/>
          <w:lang w:val="es-MX"/>
        </w:rPr>
        <w:t>); Sa</w:t>
      </w:r>
      <w:r w:rsidR="00111DBD">
        <w:rPr>
          <w:sz w:val="22"/>
          <w:szCs w:val="22"/>
          <w:lang w:val="es-MX"/>
        </w:rPr>
        <w:t>lud EPS Privadas ($</w:t>
      </w:r>
      <w:r w:rsidR="00555A54">
        <w:rPr>
          <w:sz w:val="22"/>
          <w:szCs w:val="22"/>
          <w:lang w:val="es-MX"/>
        </w:rPr>
        <w:t>6.381.428.990</w:t>
      </w:r>
      <w:r w:rsidR="008D3B98" w:rsidRPr="00430EA8">
        <w:rPr>
          <w:sz w:val="22"/>
          <w:szCs w:val="22"/>
          <w:lang w:val="es-MX"/>
        </w:rPr>
        <w:t>); Ries</w:t>
      </w:r>
      <w:r w:rsidR="007B1E72">
        <w:rPr>
          <w:sz w:val="22"/>
          <w:szCs w:val="22"/>
          <w:lang w:val="es-MX"/>
        </w:rPr>
        <w:t>gos Profesionales Sector Publico</w:t>
      </w:r>
      <w:r w:rsidR="008D3B98" w:rsidRPr="00430EA8">
        <w:rPr>
          <w:sz w:val="22"/>
          <w:szCs w:val="22"/>
          <w:lang w:val="es-MX"/>
        </w:rPr>
        <w:t xml:space="preserve"> (</w:t>
      </w:r>
      <w:r w:rsidR="0022364A" w:rsidRPr="00430EA8">
        <w:rPr>
          <w:sz w:val="22"/>
          <w:szCs w:val="22"/>
          <w:lang w:val="es-MX"/>
        </w:rPr>
        <w:t>$</w:t>
      </w:r>
      <w:r w:rsidR="00555A54">
        <w:rPr>
          <w:sz w:val="22"/>
          <w:szCs w:val="22"/>
          <w:lang w:val="es-MX"/>
        </w:rPr>
        <w:t>358.930.700</w:t>
      </w:r>
      <w:r w:rsidR="00063AAA">
        <w:rPr>
          <w:sz w:val="22"/>
          <w:szCs w:val="22"/>
          <w:lang w:val="es-MX"/>
        </w:rPr>
        <w:t>); Caja</w:t>
      </w:r>
      <w:r w:rsidR="00555A54">
        <w:rPr>
          <w:sz w:val="22"/>
          <w:szCs w:val="22"/>
          <w:lang w:val="es-MX"/>
        </w:rPr>
        <w:t xml:space="preserve"> de Compensación ($3.343.790.300</w:t>
      </w:r>
      <w:r w:rsidR="0022364A" w:rsidRPr="00430EA8">
        <w:rPr>
          <w:sz w:val="22"/>
          <w:szCs w:val="22"/>
          <w:lang w:val="es-MX"/>
        </w:rPr>
        <w:t>);</w:t>
      </w:r>
      <w:r w:rsidR="007D78CF">
        <w:rPr>
          <w:sz w:val="22"/>
          <w:szCs w:val="22"/>
          <w:lang w:val="es-MX"/>
        </w:rPr>
        <w:t xml:space="preserve"> </w:t>
      </w:r>
      <w:r w:rsidR="0022364A" w:rsidRPr="00430EA8">
        <w:rPr>
          <w:sz w:val="22"/>
          <w:szCs w:val="22"/>
          <w:lang w:val="es-MX"/>
        </w:rPr>
        <w:t>Cesantías Fondos Públicos ($</w:t>
      </w:r>
      <w:r w:rsidR="00AC3063">
        <w:rPr>
          <w:sz w:val="22"/>
          <w:szCs w:val="22"/>
          <w:lang w:val="es-MX"/>
        </w:rPr>
        <w:t>6.153.010.579</w:t>
      </w:r>
      <w:r w:rsidR="00366934">
        <w:rPr>
          <w:sz w:val="22"/>
          <w:szCs w:val="22"/>
          <w:lang w:val="es-MX"/>
        </w:rPr>
        <w:t xml:space="preserve">); </w:t>
      </w:r>
      <w:r w:rsidR="00B54C55">
        <w:rPr>
          <w:sz w:val="22"/>
          <w:szCs w:val="22"/>
          <w:lang w:val="es-MX"/>
        </w:rPr>
        <w:t>Pensiones</w:t>
      </w:r>
      <w:r w:rsidR="00AC3063">
        <w:rPr>
          <w:sz w:val="22"/>
          <w:szCs w:val="22"/>
          <w:lang w:val="es-MX"/>
        </w:rPr>
        <w:t xml:space="preserve"> Fondos Públicos ($6.144.179.112</w:t>
      </w:r>
      <w:r w:rsidR="00B54C55">
        <w:rPr>
          <w:sz w:val="22"/>
          <w:szCs w:val="22"/>
          <w:lang w:val="es-MX"/>
        </w:rPr>
        <w:t>);</w:t>
      </w:r>
      <w:r w:rsidR="007B1E72">
        <w:rPr>
          <w:sz w:val="22"/>
          <w:szCs w:val="22"/>
          <w:lang w:val="es-MX"/>
        </w:rPr>
        <w:t xml:space="preserve"> Sal</w:t>
      </w:r>
      <w:r w:rsidR="00AC3063">
        <w:rPr>
          <w:sz w:val="22"/>
          <w:szCs w:val="22"/>
          <w:lang w:val="es-MX"/>
        </w:rPr>
        <w:t>ud EPS Públicas ($48.639.800); ESAP ($418.496.400); ICBF ($2.507.729.000); SENA ($418.489.800</w:t>
      </w:r>
      <w:r w:rsidR="0022364A" w:rsidRPr="00430EA8">
        <w:rPr>
          <w:sz w:val="22"/>
          <w:szCs w:val="22"/>
          <w:lang w:val="es-MX"/>
        </w:rPr>
        <w:t>); Institutos Técnicos ($</w:t>
      </w:r>
      <w:r w:rsidR="00AC3063">
        <w:rPr>
          <w:sz w:val="22"/>
          <w:szCs w:val="22"/>
          <w:lang w:val="es-MX"/>
        </w:rPr>
        <w:t>836.375.300</w:t>
      </w:r>
      <w:r w:rsidR="0022364A" w:rsidRPr="00430EA8">
        <w:rPr>
          <w:sz w:val="22"/>
          <w:szCs w:val="22"/>
          <w:lang w:val="es-MX"/>
        </w:rPr>
        <w:t>); Comisiones ($</w:t>
      </w:r>
      <w:r w:rsidR="00AC3063">
        <w:rPr>
          <w:sz w:val="22"/>
          <w:szCs w:val="22"/>
          <w:lang w:val="es-MX"/>
        </w:rPr>
        <w:t>50.882.302</w:t>
      </w:r>
      <w:r w:rsidR="0044561B">
        <w:rPr>
          <w:sz w:val="22"/>
          <w:szCs w:val="22"/>
          <w:lang w:val="es-MX"/>
        </w:rPr>
        <w:t>), para un total de $31.585.110.150</w:t>
      </w:r>
      <w:r w:rsidR="007D78CF">
        <w:rPr>
          <w:sz w:val="22"/>
          <w:szCs w:val="22"/>
          <w:lang w:val="es-MX"/>
        </w:rPr>
        <w:t xml:space="preserve"> </w:t>
      </w:r>
      <w:r w:rsidR="0044561B">
        <w:rPr>
          <w:sz w:val="22"/>
          <w:szCs w:val="22"/>
          <w:lang w:val="es-MX"/>
        </w:rPr>
        <w:t>que equivale al 100%</w:t>
      </w:r>
    </w:p>
    <w:p w:rsidR="0004451E" w:rsidRDefault="0004451E" w:rsidP="0044561B">
      <w:pPr>
        <w:pStyle w:val="CUERPO1"/>
        <w:spacing w:after="0" w:line="276" w:lineRule="auto"/>
        <w:ind w:left="720"/>
        <w:rPr>
          <w:sz w:val="22"/>
          <w:szCs w:val="22"/>
          <w:lang w:val="es-MX"/>
        </w:rPr>
      </w:pPr>
    </w:p>
    <w:p w:rsidR="00061448" w:rsidRDefault="00061448" w:rsidP="00061448">
      <w:pPr>
        <w:pStyle w:val="Prrafodelista"/>
        <w:rPr>
          <w:sz w:val="12"/>
          <w:szCs w:val="22"/>
          <w:lang w:val="es-MX"/>
        </w:rPr>
      </w:pPr>
    </w:p>
    <w:p w:rsidR="00C84850" w:rsidRDefault="00C84850" w:rsidP="00061448">
      <w:pPr>
        <w:pStyle w:val="Prrafodelista"/>
        <w:rPr>
          <w:sz w:val="12"/>
          <w:szCs w:val="22"/>
          <w:lang w:val="es-MX"/>
        </w:rPr>
      </w:pPr>
    </w:p>
    <w:p w:rsidR="002408D4" w:rsidRDefault="005A2222" w:rsidP="00555E40">
      <w:pPr>
        <w:pStyle w:val="CUERPO1"/>
        <w:numPr>
          <w:ilvl w:val="1"/>
          <w:numId w:val="30"/>
        </w:numPr>
        <w:spacing w:after="0" w:line="276" w:lineRule="auto"/>
        <w:rPr>
          <w:b/>
          <w:sz w:val="22"/>
          <w:szCs w:val="22"/>
          <w:lang w:val="es-MX"/>
        </w:rPr>
      </w:pPr>
      <w:r>
        <w:rPr>
          <w:b/>
          <w:sz w:val="22"/>
          <w:szCs w:val="22"/>
          <w:lang w:val="es-MX"/>
        </w:rPr>
        <w:lastRenderedPageBreak/>
        <w:t>A</w:t>
      </w:r>
      <w:r w:rsidR="002408D4" w:rsidRPr="002408D4">
        <w:rPr>
          <w:b/>
          <w:sz w:val="22"/>
          <w:szCs w:val="22"/>
          <w:lang w:val="es-MX"/>
        </w:rPr>
        <w:t xml:space="preserve">nálisis </w:t>
      </w:r>
      <w:r w:rsidR="00A77DA5">
        <w:rPr>
          <w:b/>
          <w:sz w:val="22"/>
          <w:szCs w:val="22"/>
          <w:lang w:val="es-MX"/>
        </w:rPr>
        <w:t>P</w:t>
      </w:r>
      <w:r w:rsidR="002408D4" w:rsidRPr="002408D4">
        <w:rPr>
          <w:b/>
          <w:sz w:val="22"/>
          <w:szCs w:val="22"/>
          <w:lang w:val="es-MX"/>
        </w:rPr>
        <w:t xml:space="preserve">lan de </w:t>
      </w:r>
      <w:r w:rsidR="00A77DA5">
        <w:rPr>
          <w:b/>
          <w:sz w:val="22"/>
          <w:szCs w:val="22"/>
          <w:lang w:val="es-MX"/>
        </w:rPr>
        <w:t>A</w:t>
      </w:r>
      <w:r w:rsidR="002408D4" w:rsidRPr="002408D4">
        <w:rPr>
          <w:b/>
          <w:sz w:val="22"/>
          <w:szCs w:val="22"/>
          <w:lang w:val="es-MX"/>
        </w:rPr>
        <w:t>cción</w:t>
      </w:r>
    </w:p>
    <w:p w:rsidR="002408D4" w:rsidRPr="002408D4" w:rsidRDefault="002408D4" w:rsidP="0004451E">
      <w:pPr>
        <w:pStyle w:val="CUERPO1"/>
        <w:spacing w:after="0" w:line="276" w:lineRule="auto"/>
        <w:ind w:left="720"/>
        <w:rPr>
          <w:b/>
          <w:sz w:val="22"/>
          <w:szCs w:val="22"/>
          <w:lang w:val="es-MX"/>
        </w:rPr>
      </w:pPr>
    </w:p>
    <w:p w:rsidR="002408D4" w:rsidRDefault="00A239E9" w:rsidP="0004451E">
      <w:pPr>
        <w:pStyle w:val="CUERPO1"/>
        <w:spacing w:line="276" w:lineRule="auto"/>
        <w:rPr>
          <w:sz w:val="22"/>
          <w:szCs w:val="22"/>
          <w:lang w:val="es-MX"/>
        </w:rPr>
      </w:pPr>
      <w:r>
        <w:rPr>
          <w:sz w:val="22"/>
          <w:szCs w:val="22"/>
          <w:lang w:val="es-MX"/>
        </w:rPr>
        <w:t>En el P</w:t>
      </w:r>
      <w:r w:rsidR="00563BEB">
        <w:rPr>
          <w:sz w:val="22"/>
          <w:szCs w:val="22"/>
          <w:lang w:val="es-MX"/>
        </w:rPr>
        <w:t>lan de Acción Institucional 2018</w:t>
      </w:r>
      <w:r>
        <w:rPr>
          <w:sz w:val="22"/>
          <w:szCs w:val="22"/>
          <w:lang w:val="es-MX"/>
        </w:rPr>
        <w:t>, la S</w:t>
      </w:r>
      <w:r w:rsidR="002408D4" w:rsidRPr="002408D4">
        <w:rPr>
          <w:sz w:val="22"/>
          <w:szCs w:val="22"/>
          <w:lang w:val="es-MX"/>
        </w:rPr>
        <w:t xml:space="preserve">ubdirección </w:t>
      </w:r>
      <w:r>
        <w:rPr>
          <w:sz w:val="22"/>
          <w:szCs w:val="22"/>
          <w:lang w:val="es-MX"/>
        </w:rPr>
        <w:t>F</w:t>
      </w:r>
      <w:r w:rsidR="00EA480E">
        <w:rPr>
          <w:sz w:val="22"/>
          <w:szCs w:val="22"/>
          <w:lang w:val="es-MX"/>
        </w:rPr>
        <w:t>inanciera tiene a cargo 4</w:t>
      </w:r>
      <w:r w:rsidR="002408D4" w:rsidRPr="002408D4">
        <w:rPr>
          <w:sz w:val="22"/>
          <w:szCs w:val="22"/>
          <w:lang w:val="es-MX"/>
        </w:rPr>
        <w:t xml:space="preserve"> actividades las cuales están medidas porcentualmente y son indicadores de eficacia. A continuación se le realiza análisis a cada una de e</w:t>
      </w:r>
      <w:r w:rsidR="003E2C89">
        <w:rPr>
          <w:sz w:val="22"/>
          <w:szCs w:val="22"/>
          <w:lang w:val="es-MX"/>
        </w:rPr>
        <w:t xml:space="preserve">llas con corte a </w:t>
      </w:r>
      <w:r w:rsidR="002637A3">
        <w:rPr>
          <w:sz w:val="22"/>
          <w:szCs w:val="22"/>
          <w:lang w:val="es-MX"/>
        </w:rPr>
        <w:t>31 de diciembre</w:t>
      </w:r>
      <w:r w:rsidR="00EA480E">
        <w:rPr>
          <w:sz w:val="22"/>
          <w:szCs w:val="22"/>
          <w:lang w:val="es-MX"/>
        </w:rPr>
        <w:t xml:space="preserve"> </w:t>
      </w:r>
      <w:r w:rsidR="00563BEB">
        <w:rPr>
          <w:sz w:val="22"/>
          <w:szCs w:val="22"/>
          <w:lang w:val="es-MX"/>
        </w:rPr>
        <w:t>de 2018</w:t>
      </w:r>
      <w:r w:rsidR="003E2C89">
        <w:rPr>
          <w:sz w:val="22"/>
          <w:szCs w:val="22"/>
          <w:lang w:val="es-MX"/>
        </w:rPr>
        <w:t>.</w:t>
      </w:r>
    </w:p>
    <w:p w:rsidR="00257583" w:rsidRPr="00F97C62" w:rsidRDefault="00B0015D" w:rsidP="00257583">
      <w:pPr>
        <w:pStyle w:val="CUERPO1"/>
        <w:numPr>
          <w:ilvl w:val="2"/>
          <w:numId w:val="14"/>
        </w:numPr>
        <w:spacing w:line="276" w:lineRule="auto"/>
        <w:rPr>
          <w:b/>
          <w:sz w:val="22"/>
          <w:szCs w:val="22"/>
          <w:lang w:val="es-MX"/>
        </w:rPr>
      </w:pPr>
      <w:r w:rsidRPr="00F97C62">
        <w:rPr>
          <w:b/>
          <w:sz w:val="22"/>
          <w:szCs w:val="22"/>
          <w:lang w:val="es-MX"/>
        </w:rPr>
        <w:t>Ejecución P</w:t>
      </w:r>
      <w:r w:rsidR="00937AF0" w:rsidRPr="00F97C62">
        <w:rPr>
          <w:b/>
          <w:sz w:val="22"/>
          <w:szCs w:val="22"/>
          <w:lang w:val="es-MX"/>
        </w:rPr>
        <w:t>resupuestal</w:t>
      </w:r>
    </w:p>
    <w:p w:rsidR="00257583" w:rsidRPr="004B62B0" w:rsidRDefault="00257583" w:rsidP="0004451E">
      <w:pPr>
        <w:pStyle w:val="CUERPO1"/>
        <w:spacing w:line="276" w:lineRule="auto"/>
        <w:rPr>
          <w:b/>
          <w:sz w:val="6"/>
          <w:szCs w:val="22"/>
          <w:lang w:val="es-MX"/>
        </w:rPr>
      </w:pPr>
    </w:p>
    <w:p w:rsidR="00937AF0" w:rsidRDefault="00937AF0" w:rsidP="0004451E">
      <w:pPr>
        <w:pStyle w:val="CUERPO1"/>
        <w:spacing w:line="276" w:lineRule="auto"/>
        <w:rPr>
          <w:sz w:val="22"/>
          <w:szCs w:val="22"/>
          <w:lang w:val="es-MX"/>
        </w:rPr>
      </w:pPr>
      <w:r w:rsidRPr="004B62B0">
        <w:rPr>
          <w:b/>
          <w:sz w:val="22"/>
          <w:szCs w:val="22"/>
          <w:lang w:val="es-MX"/>
        </w:rPr>
        <w:t>OBJETIVO DEL INDICADOR:</w:t>
      </w:r>
      <w:r>
        <w:rPr>
          <w:sz w:val="22"/>
          <w:szCs w:val="22"/>
          <w:lang w:val="es-MX"/>
        </w:rPr>
        <w:t xml:space="preserve"> </w:t>
      </w:r>
      <w:r w:rsidRPr="00937AF0">
        <w:rPr>
          <w:sz w:val="22"/>
          <w:szCs w:val="22"/>
          <w:lang w:val="es-MX"/>
        </w:rPr>
        <w:t>Medir el porcentaje de ejecución de gastos con respecto al presupuesto definitivo</w:t>
      </w:r>
      <w:r>
        <w:rPr>
          <w:sz w:val="22"/>
          <w:szCs w:val="22"/>
          <w:lang w:val="es-MX"/>
        </w:rPr>
        <w:t>.</w:t>
      </w:r>
    </w:p>
    <w:p w:rsidR="00937AF0" w:rsidRDefault="00937AF0" w:rsidP="0004451E">
      <w:pPr>
        <w:pStyle w:val="CUERPO1"/>
        <w:spacing w:line="276" w:lineRule="auto"/>
        <w:rPr>
          <w:sz w:val="22"/>
          <w:szCs w:val="22"/>
          <w:lang w:val="es-MX"/>
        </w:rPr>
      </w:pPr>
      <w:r w:rsidRPr="004B62B0">
        <w:rPr>
          <w:b/>
          <w:sz w:val="22"/>
          <w:szCs w:val="22"/>
          <w:lang w:val="es-MX"/>
        </w:rPr>
        <w:t>F</w:t>
      </w:r>
      <w:r w:rsidR="0077747A" w:rsidRPr="004B62B0">
        <w:rPr>
          <w:b/>
          <w:sz w:val="22"/>
          <w:szCs w:val="22"/>
          <w:lang w:val="es-MX"/>
        </w:rPr>
        <w:t>Ó</w:t>
      </w:r>
      <w:r w:rsidRPr="004B62B0">
        <w:rPr>
          <w:b/>
          <w:sz w:val="22"/>
          <w:szCs w:val="22"/>
          <w:lang w:val="es-MX"/>
        </w:rPr>
        <w:t>RMULA:</w:t>
      </w:r>
      <w:r>
        <w:rPr>
          <w:sz w:val="22"/>
          <w:szCs w:val="22"/>
          <w:lang w:val="es-MX"/>
        </w:rPr>
        <w:t xml:space="preserve"> </w:t>
      </w:r>
      <m:oMath>
        <m:f>
          <m:fPr>
            <m:ctrlPr>
              <w:rPr>
                <w:rFonts w:ascii="Cambria Math" w:hAnsi="Cambria Math"/>
                <w:i/>
                <w:sz w:val="22"/>
                <w:szCs w:val="22"/>
                <w:lang w:val="es-MX"/>
              </w:rPr>
            </m:ctrlPr>
          </m:fPr>
          <m:num>
            <m:r>
              <w:rPr>
                <w:rFonts w:ascii="Cambria Math" w:hAnsi="Cambria Math"/>
                <w:sz w:val="22"/>
                <w:szCs w:val="22"/>
                <w:lang w:val="es-MX"/>
              </w:rPr>
              <m:t>Valor total compromisos presupuestales</m:t>
            </m:r>
          </m:num>
          <m:den>
            <m:r>
              <w:rPr>
                <w:rFonts w:ascii="Cambria Math" w:hAnsi="Cambria Math"/>
                <w:sz w:val="22"/>
                <w:szCs w:val="22"/>
                <w:lang w:val="es-MX"/>
              </w:rPr>
              <m:t>Presupuesto definitivo de la vigencia</m:t>
            </m:r>
          </m:den>
        </m:f>
      </m:oMath>
    </w:p>
    <w:p w:rsidR="00061448" w:rsidRPr="00061448" w:rsidRDefault="00061448" w:rsidP="0004451E">
      <w:pPr>
        <w:pStyle w:val="CUERPO1"/>
        <w:spacing w:line="276" w:lineRule="auto"/>
        <w:rPr>
          <w:sz w:val="18"/>
          <w:szCs w:val="22"/>
          <w:lang w:val="es-MX"/>
        </w:rPr>
      </w:pPr>
    </w:p>
    <w:p w:rsidR="00061448" w:rsidRDefault="0077747A" w:rsidP="0004451E">
      <w:pPr>
        <w:pStyle w:val="CUERPO1"/>
        <w:spacing w:line="276" w:lineRule="auto"/>
        <w:rPr>
          <w:color w:val="000000" w:themeColor="text1"/>
          <w:sz w:val="22"/>
          <w:szCs w:val="22"/>
          <w:lang w:val="es-MX"/>
        </w:rPr>
      </w:pPr>
      <w:r w:rsidRPr="004B62B0">
        <w:rPr>
          <w:b/>
          <w:sz w:val="22"/>
          <w:szCs w:val="22"/>
          <w:lang w:val="es-MX"/>
        </w:rPr>
        <w:t>RESULTADO:</w:t>
      </w:r>
      <w:r>
        <w:rPr>
          <w:sz w:val="22"/>
          <w:szCs w:val="22"/>
          <w:lang w:val="es-MX"/>
        </w:rPr>
        <w:t xml:space="preserve"> </w:t>
      </w:r>
      <w:r w:rsidR="0095685D">
        <w:rPr>
          <w:color w:val="000000" w:themeColor="text1"/>
          <w:sz w:val="22"/>
          <w:szCs w:val="22"/>
          <w:lang w:val="es-MX"/>
        </w:rPr>
        <w:t>100</w:t>
      </w:r>
      <w:r w:rsidR="00EA480E">
        <w:rPr>
          <w:color w:val="000000" w:themeColor="text1"/>
          <w:sz w:val="22"/>
          <w:szCs w:val="22"/>
          <w:lang w:val="es-MX"/>
        </w:rPr>
        <w:t>%</w:t>
      </w:r>
    </w:p>
    <w:p w:rsidR="002408D4" w:rsidRDefault="0077747A" w:rsidP="0004451E">
      <w:pPr>
        <w:pStyle w:val="CUERPO1"/>
        <w:spacing w:line="276" w:lineRule="auto"/>
        <w:rPr>
          <w:sz w:val="22"/>
          <w:szCs w:val="22"/>
          <w:lang w:val="es-MX"/>
        </w:rPr>
      </w:pPr>
      <w:r w:rsidRPr="004B62B0">
        <w:rPr>
          <w:b/>
          <w:sz w:val="22"/>
          <w:szCs w:val="22"/>
          <w:lang w:val="es-MX"/>
        </w:rPr>
        <w:t>ANÁLISIS:</w:t>
      </w:r>
      <w:r w:rsidRPr="0077747A">
        <w:rPr>
          <w:sz w:val="22"/>
          <w:szCs w:val="22"/>
          <w:lang w:val="es-MX"/>
        </w:rPr>
        <w:t xml:space="preserve"> </w:t>
      </w:r>
      <w:r w:rsidR="0036426D" w:rsidRPr="0077747A">
        <w:rPr>
          <w:sz w:val="22"/>
          <w:szCs w:val="22"/>
          <w:lang w:val="es-MX"/>
        </w:rPr>
        <w:t xml:space="preserve">A </w:t>
      </w:r>
      <w:r w:rsidR="002637A3">
        <w:rPr>
          <w:sz w:val="22"/>
          <w:szCs w:val="22"/>
          <w:lang w:val="es-MX"/>
        </w:rPr>
        <w:t>31 De diciembre</w:t>
      </w:r>
      <w:r w:rsidR="00563BEB">
        <w:rPr>
          <w:sz w:val="22"/>
          <w:szCs w:val="22"/>
          <w:lang w:val="es-MX"/>
        </w:rPr>
        <w:t xml:space="preserve"> de 2018</w:t>
      </w:r>
      <w:r w:rsidR="0036426D" w:rsidRPr="0077747A">
        <w:rPr>
          <w:sz w:val="22"/>
          <w:szCs w:val="22"/>
          <w:lang w:val="es-MX"/>
        </w:rPr>
        <w:t xml:space="preserve">, la unidad ejecutora 01 </w:t>
      </w:r>
      <w:r w:rsidR="00582A93">
        <w:rPr>
          <w:sz w:val="22"/>
          <w:szCs w:val="22"/>
          <w:lang w:val="es-MX"/>
        </w:rPr>
        <w:t xml:space="preserve">presenta una </w:t>
      </w:r>
      <w:r w:rsidR="0036426D" w:rsidRPr="0077747A">
        <w:rPr>
          <w:sz w:val="22"/>
          <w:szCs w:val="22"/>
          <w:lang w:val="es-MX"/>
        </w:rPr>
        <w:t xml:space="preserve">ejecución presupuestal del </w:t>
      </w:r>
      <w:r w:rsidR="00AC3063">
        <w:rPr>
          <w:sz w:val="22"/>
          <w:szCs w:val="22"/>
          <w:lang w:val="es-MX"/>
        </w:rPr>
        <w:t>99.58%</w:t>
      </w:r>
      <w:r w:rsidR="0036426D" w:rsidRPr="0077747A">
        <w:rPr>
          <w:sz w:val="22"/>
          <w:szCs w:val="22"/>
          <w:lang w:val="es-MX"/>
        </w:rPr>
        <w:t>; porcentaje correspondiente a los compromisos acumulados por la suma de $</w:t>
      </w:r>
      <w:r w:rsidR="00DD1E35">
        <w:rPr>
          <w:sz w:val="22"/>
          <w:szCs w:val="22"/>
          <w:lang w:val="es-MX"/>
        </w:rPr>
        <w:t xml:space="preserve"> </w:t>
      </w:r>
      <w:r w:rsidR="00AC3063">
        <w:rPr>
          <w:sz w:val="22"/>
          <w:szCs w:val="22"/>
          <w:lang w:val="es-MX"/>
        </w:rPr>
        <w:t>147.480.926.212</w:t>
      </w:r>
      <w:r w:rsidR="00CE0766">
        <w:rPr>
          <w:sz w:val="22"/>
          <w:szCs w:val="22"/>
          <w:lang w:val="es-MX"/>
        </w:rPr>
        <w:t xml:space="preserve"> </w:t>
      </w:r>
      <w:r w:rsidR="0036426D" w:rsidRPr="0077747A">
        <w:rPr>
          <w:sz w:val="22"/>
          <w:szCs w:val="22"/>
          <w:lang w:val="es-MX"/>
        </w:rPr>
        <w:t>de los $</w:t>
      </w:r>
      <w:r w:rsidR="00AC3063">
        <w:rPr>
          <w:sz w:val="22"/>
          <w:szCs w:val="22"/>
          <w:lang w:val="es-MX"/>
        </w:rPr>
        <w:t>148.103.486.000</w:t>
      </w:r>
      <w:r w:rsidR="00844318">
        <w:rPr>
          <w:sz w:val="22"/>
          <w:szCs w:val="22"/>
          <w:lang w:val="es-MX"/>
        </w:rPr>
        <w:t xml:space="preserve"> </w:t>
      </w:r>
      <w:r w:rsidR="0036426D" w:rsidRPr="0077747A">
        <w:rPr>
          <w:sz w:val="22"/>
          <w:szCs w:val="22"/>
          <w:lang w:val="es-MX"/>
        </w:rPr>
        <w:t xml:space="preserve">asignados para la vigencia fiscal </w:t>
      </w:r>
      <w:r w:rsidR="003619AD">
        <w:rPr>
          <w:sz w:val="22"/>
          <w:szCs w:val="22"/>
          <w:lang w:val="es-MX"/>
        </w:rPr>
        <w:t xml:space="preserve">de </w:t>
      </w:r>
      <w:r w:rsidR="001A2074">
        <w:rPr>
          <w:sz w:val="22"/>
          <w:szCs w:val="22"/>
          <w:lang w:val="es-MX"/>
        </w:rPr>
        <w:t>2018</w:t>
      </w:r>
      <w:r w:rsidR="0036426D" w:rsidRPr="0077747A">
        <w:rPr>
          <w:sz w:val="22"/>
          <w:szCs w:val="22"/>
          <w:lang w:val="es-MX"/>
        </w:rPr>
        <w:t xml:space="preserve"> </w:t>
      </w:r>
      <w:r w:rsidR="003619AD">
        <w:rPr>
          <w:sz w:val="22"/>
          <w:szCs w:val="22"/>
          <w:lang w:val="es-MX"/>
        </w:rPr>
        <w:t>para</w:t>
      </w:r>
      <w:r w:rsidR="0036426D" w:rsidRPr="0077747A">
        <w:rPr>
          <w:sz w:val="22"/>
          <w:szCs w:val="22"/>
          <w:lang w:val="es-MX"/>
        </w:rPr>
        <w:t xml:space="preserve"> la unidad ejecutora 01 de la Contraloría de Bogotá</w:t>
      </w:r>
      <w:r w:rsidR="001A2074">
        <w:rPr>
          <w:sz w:val="22"/>
          <w:szCs w:val="22"/>
          <w:lang w:val="es-MX"/>
        </w:rPr>
        <w:t xml:space="preserve"> D.C</w:t>
      </w:r>
      <w:r w:rsidR="00EE0B7E" w:rsidRPr="00F97C62">
        <w:rPr>
          <w:sz w:val="22"/>
          <w:szCs w:val="22"/>
          <w:lang w:val="es-MX"/>
        </w:rPr>
        <w:t xml:space="preserve">. </w:t>
      </w:r>
      <w:r w:rsidR="001C3A4B" w:rsidRPr="00F97C62">
        <w:rPr>
          <w:sz w:val="22"/>
          <w:szCs w:val="22"/>
          <w:lang w:val="es-MX"/>
        </w:rPr>
        <w:t>Este indicador</w:t>
      </w:r>
      <w:r w:rsidR="00EE0B7E" w:rsidRPr="00F97C62">
        <w:rPr>
          <w:sz w:val="22"/>
          <w:szCs w:val="22"/>
          <w:lang w:val="es-MX"/>
        </w:rPr>
        <w:t xml:space="preserve"> finalizo con </w:t>
      </w:r>
      <w:r w:rsidR="001C3A4B" w:rsidRPr="00F97C62">
        <w:rPr>
          <w:sz w:val="22"/>
          <w:szCs w:val="22"/>
          <w:lang w:val="es-MX"/>
        </w:rPr>
        <w:t>un rango</w:t>
      </w:r>
      <w:r w:rsidR="00EE0B7E" w:rsidRPr="00F97C62">
        <w:rPr>
          <w:sz w:val="22"/>
          <w:szCs w:val="22"/>
          <w:lang w:val="es-MX"/>
        </w:rPr>
        <w:t xml:space="preserve"> de calificación de </w:t>
      </w:r>
      <w:r w:rsidR="001C3A4B" w:rsidRPr="00F97C62">
        <w:rPr>
          <w:sz w:val="22"/>
          <w:szCs w:val="22"/>
          <w:lang w:val="es-MX"/>
        </w:rPr>
        <w:t>resultado satisfactorio</w:t>
      </w:r>
      <w:r w:rsidR="00EE0B7E" w:rsidRPr="00F97C62">
        <w:rPr>
          <w:sz w:val="22"/>
          <w:szCs w:val="22"/>
          <w:lang w:val="es-MX"/>
        </w:rPr>
        <w:t>.</w:t>
      </w:r>
      <w:r w:rsidR="00DF3228" w:rsidRPr="00F97C62">
        <w:rPr>
          <w:color w:val="000000" w:themeColor="text1"/>
          <w:sz w:val="22"/>
          <w:szCs w:val="22"/>
          <w:lang w:val="es-MX"/>
        </w:rPr>
        <w:t xml:space="preserve"> </w:t>
      </w:r>
      <w:r w:rsidR="00DF3228" w:rsidRPr="00F97C62">
        <w:rPr>
          <w:sz w:val="22"/>
          <w:szCs w:val="22"/>
          <w:lang w:val="es-MX"/>
        </w:rPr>
        <w:t>Tal como se muestra en el siguiente cuadro:</w:t>
      </w:r>
    </w:p>
    <w:p w:rsidR="00BB494A" w:rsidRDefault="00BB494A" w:rsidP="00BB494A">
      <w:pPr>
        <w:pStyle w:val="CUERPO1"/>
        <w:spacing w:line="276" w:lineRule="auto"/>
        <w:jc w:val="center"/>
        <w:rPr>
          <w:sz w:val="22"/>
          <w:szCs w:val="22"/>
          <w:lang w:val="es-MX"/>
        </w:rPr>
      </w:pPr>
      <w:r>
        <w:rPr>
          <w:sz w:val="22"/>
          <w:szCs w:val="22"/>
          <w:lang w:val="es-MX"/>
        </w:rPr>
        <w:t>CUADRO 4</w:t>
      </w:r>
    </w:p>
    <w:tbl>
      <w:tblPr>
        <w:tblW w:w="8789" w:type="dxa"/>
        <w:tblInd w:w="-5" w:type="dxa"/>
        <w:tblLayout w:type="fixed"/>
        <w:tblCellMar>
          <w:left w:w="70" w:type="dxa"/>
          <w:right w:w="70" w:type="dxa"/>
        </w:tblCellMar>
        <w:tblLook w:val="04A0" w:firstRow="1" w:lastRow="0" w:firstColumn="1" w:lastColumn="0" w:noHBand="0" w:noVBand="1"/>
      </w:tblPr>
      <w:tblGrid>
        <w:gridCol w:w="1134"/>
        <w:gridCol w:w="2552"/>
        <w:gridCol w:w="1843"/>
        <w:gridCol w:w="1842"/>
        <w:gridCol w:w="1418"/>
      </w:tblGrid>
      <w:tr w:rsidR="00382651" w:rsidRPr="0095685D" w:rsidTr="00382651">
        <w:trPr>
          <w:trHeight w:val="49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94A" w:rsidRDefault="00BB494A" w:rsidP="0095685D">
            <w:pPr>
              <w:spacing w:after="0" w:line="240" w:lineRule="auto"/>
              <w:jc w:val="center"/>
              <w:rPr>
                <w:rFonts w:ascii="Arial" w:hAnsi="Arial" w:cs="Arial"/>
                <w:b/>
                <w:bCs/>
                <w:sz w:val="12"/>
                <w:szCs w:val="16"/>
              </w:rPr>
            </w:pPr>
          </w:p>
          <w:p w:rsidR="0095685D" w:rsidRPr="0095685D" w:rsidRDefault="0095685D" w:rsidP="0095685D">
            <w:pPr>
              <w:spacing w:after="0" w:line="240" w:lineRule="auto"/>
              <w:jc w:val="center"/>
              <w:rPr>
                <w:rFonts w:ascii="Arial" w:hAnsi="Arial" w:cs="Arial"/>
                <w:b/>
                <w:bCs/>
                <w:sz w:val="12"/>
                <w:szCs w:val="16"/>
              </w:rPr>
            </w:pPr>
            <w:r w:rsidRPr="0095685D">
              <w:rPr>
                <w:rFonts w:ascii="Arial" w:hAnsi="Arial" w:cs="Arial"/>
                <w:b/>
                <w:bCs/>
                <w:sz w:val="12"/>
                <w:szCs w:val="16"/>
              </w:rPr>
              <w:t>CODIGO PRESUPUESTAL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5685D" w:rsidRPr="0095685D" w:rsidRDefault="0095685D" w:rsidP="0095685D">
            <w:pPr>
              <w:spacing w:after="0" w:line="240" w:lineRule="auto"/>
              <w:jc w:val="center"/>
              <w:rPr>
                <w:rFonts w:ascii="Arial" w:hAnsi="Arial" w:cs="Arial"/>
                <w:b/>
                <w:bCs/>
                <w:sz w:val="12"/>
                <w:szCs w:val="16"/>
              </w:rPr>
            </w:pPr>
            <w:r w:rsidRPr="0095685D">
              <w:rPr>
                <w:rFonts w:ascii="Arial" w:hAnsi="Arial" w:cs="Arial"/>
                <w:b/>
                <w:bCs/>
                <w:sz w:val="12"/>
                <w:szCs w:val="16"/>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5685D" w:rsidRPr="0095685D" w:rsidRDefault="0095685D" w:rsidP="0095685D">
            <w:pPr>
              <w:spacing w:after="0" w:line="240" w:lineRule="auto"/>
              <w:jc w:val="center"/>
              <w:rPr>
                <w:rFonts w:ascii="Arial" w:hAnsi="Arial" w:cs="Arial"/>
                <w:b/>
                <w:bCs/>
                <w:sz w:val="12"/>
                <w:szCs w:val="16"/>
              </w:rPr>
            </w:pPr>
            <w:r w:rsidRPr="0095685D">
              <w:rPr>
                <w:rFonts w:ascii="Arial" w:hAnsi="Arial" w:cs="Arial"/>
                <w:b/>
                <w:bCs/>
                <w:sz w:val="12"/>
                <w:szCs w:val="16"/>
              </w:rPr>
              <w:t>APROPIACION VIGENTE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5685D" w:rsidRPr="0095685D" w:rsidRDefault="0095685D" w:rsidP="0095685D">
            <w:pPr>
              <w:spacing w:after="0" w:line="240" w:lineRule="auto"/>
              <w:jc w:val="center"/>
              <w:rPr>
                <w:rFonts w:ascii="Arial" w:hAnsi="Arial" w:cs="Arial"/>
                <w:b/>
                <w:bCs/>
                <w:sz w:val="12"/>
                <w:szCs w:val="16"/>
              </w:rPr>
            </w:pPr>
            <w:r w:rsidRPr="0095685D">
              <w:rPr>
                <w:rFonts w:ascii="Arial" w:hAnsi="Arial" w:cs="Arial"/>
                <w:b/>
                <w:bCs/>
                <w:sz w:val="12"/>
                <w:szCs w:val="16"/>
              </w:rPr>
              <w:t>COMPROMISOS ACUMULADOS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685D" w:rsidRPr="0095685D" w:rsidRDefault="0095685D" w:rsidP="0095685D">
            <w:pPr>
              <w:spacing w:after="0" w:line="240" w:lineRule="auto"/>
              <w:jc w:val="center"/>
              <w:rPr>
                <w:rFonts w:ascii="Arial" w:hAnsi="Arial" w:cs="Arial"/>
                <w:b/>
                <w:bCs/>
                <w:sz w:val="12"/>
                <w:szCs w:val="16"/>
              </w:rPr>
            </w:pPr>
            <w:r w:rsidRPr="0095685D">
              <w:rPr>
                <w:rFonts w:ascii="Arial" w:hAnsi="Arial" w:cs="Arial"/>
                <w:b/>
                <w:bCs/>
                <w:sz w:val="12"/>
                <w:szCs w:val="16"/>
              </w:rPr>
              <w:t>EJECUCION PRESUPUESTO %</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GASTOS</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color w:val="000000"/>
                <w:sz w:val="18"/>
              </w:rPr>
            </w:pPr>
            <w:r w:rsidRPr="0095685D">
              <w:rPr>
                <w:rFonts w:ascii="Arial" w:hAnsi="Arial" w:cs="Arial"/>
                <w:color w:val="000000"/>
                <w:sz w:val="18"/>
              </w:rPr>
              <w:t xml:space="preserve"> $   148.103.486.000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color w:val="000000"/>
                <w:sz w:val="18"/>
              </w:rPr>
            </w:pPr>
            <w:r w:rsidRPr="0095685D">
              <w:rPr>
                <w:rFonts w:ascii="Arial" w:hAnsi="Arial" w:cs="Arial"/>
                <w:color w:val="000000"/>
                <w:sz w:val="18"/>
              </w:rPr>
              <w:t xml:space="preserve"> $    147.480.926.212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color w:val="000000"/>
                <w:sz w:val="18"/>
              </w:rPr>
            </w:pPr>
            <w:r w:rsidRPr="0095685D">
              <w:rPr>
                <w:rFonts w:ascii="Arial" w:hAnsi="Arial" w:cs="Arial"/>
                <w:color w:val="000000"/>
                <w:sz w:val="18"/>
              </w:rPr>
              <w:t>99.58</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3-1</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GASTOS DE FUNCIONAMIENTO</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132.245.101.000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131.745.236.130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99.62</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3-1-1</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SERVICIOS PERSONALES</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126.372.098.000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126.369.966.151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100</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3-1-1-01</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SERVICIOS PERSONALES ASOCIADOS A LA NOMINA</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92.366.968.000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92.365.812.555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100</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3-1-1-02</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SERVICIOS PERSONALES INDIRECTOS</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2.419.173.000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2.419.043.446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99.99</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3-1-1-03</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APORTES PATRONALES AL SECTOR PRIVADO Y PÚBLICO</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31.585.957.000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31.585.110.150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100</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3-1-2</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GASTOS GENERALES</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5.873.003.000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5.375.269.979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91.53</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3-3</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INVERSIÓN</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15.858.385.000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15.735.690.082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99.23</w:t>
            </w:r>
          </w:p>
        </w:tc>
      </w:tr>
      <w:tr w:rsidR="0095685D" w:rsidRPr="0095685D" w:rsidTr="00382651">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3-3-1</w:t>
            </w:r>
          </w:p>
        </w:tc>
        <w:tc>
          <w:tcPr>
            <w:tcW w:w="255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rPr>
                <w:rFonts w:ascii="Arial" w:hAnsi="Arial" w:cs="Arial"/>
                <w:sz w:val="18"/>
              </w:rPr>
            </w:pPr>
            <w:r w:rsidRPr="0095685D">
              <w:rPr>
                <w:rFonts w:ascii="Arial" w:hAnsi="Arial" w:cs="Arial"/>
                <w:sz w:val="18"/>
              </w:rPr>
              <w:t>DIRECTA</w:t>
            </w:r>
          </w:p>
        </w:tc>
        <w:tc>
          <w:tcPr>
            <w:tcW w:w="1843"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15.691.899.840 </w:t>
            </w:r>
          </w:p>
        </w:tc>
        <w:tc>
          <w:tcPr>
            <w:tcW w:w="1842"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 xml:space="preserve"> $      15.569.204.922 </w:t>
            </w:r>
          </w:p>
        </w:tc>
        <w:tc>
          <w:tcPr>
            <w:tcW w:w="1418" w:type="dxa"/>
            <w:tcBorders>
              <w:top w:val="nil"/>
              <w:left w:val="nil"/>
              <w:bottom w:val="single" w:sz="4" w:space="0" w:color="auto"/>
              <w:right w:val="single" w:sz="4" w:space="0" w:color="auto"/>
            </w:tcBorders>
            <w:shd w:val="clear" w:color="auto" w:fill="auto"/>
            <w:noWrap/>
            <w:vAlign w:val="bottom"/>
            <w:hideMark/>
          </w:tcPr>
          <w:p w:rsidR="0095685D" w:rsidRPr="0095685D" w:rsidRDefault="0095685D" w:rsidP="0095685D">
            <w:pPr>
              <w:spacing w:after="0" w:line="240" w:lineRule="auto"/>
              <w:jc w:val="right"/>
              <w:rPr>
                <w:rFonts w:ascii="Arial" w:hAnsi="Arial" w:cs="Arial"/>
                <w:sz w:val="18"/>
              </w:rPr>
            </w:pPr>
            <w:r w:rsidRPr="0095685D">
              <w:rPr>
                <w:rFonts w:ascii="Arial" w:hAnsi="Arial" w:cs="Arial"/>
                <w:sz w:val="18"/>
              </w:rPr>
              <w:t>99.22</w:t>
            </w:r>
          </w:p>
        </w:tc>
      </w:tr>
    </w:tbl>
    <w:p w:rsidR="0095685D" w:rsidRDefault="0095685D" w:rsidP="0004451E">
      <w:pPr>
        <w:pStyle w:val="CUERPO1"/>
        <w:spacing w:line="276" w:lineRule="auto"/>
        <w:rPr>
          <w:sz w:val="22"/>
          <w:szCs w:val="22"/>
          <w:lang w:val="es-MX"/>
        </w:rPr>
      </w:pPr>
    </w:p>
    <w:p w:rsidR="0095685D" w:rsidRDefault="0095685D" w:rsidP="0004451E">
      <w:pPr>
        <w:pStyle w:val="CUERPO1"/>
        <w:spacing w:line="276" w:lineRule="auto"/>
        <w:rPr>
          <w:sz w:val="22"/>
          <w:szCs w:val="22"/>
          <w:lang w:val="es-MX"/>
        </w:rPr>
      </w:pPr>
    </w:p>
    <w:p w:rsidR="002D718F" w:rsidRDefault="002D718F" w:rsidP="005F13AD">
      <w:pPr>
        <w:pStyle w:val="CUERPO1"/>
        <w:spacing w:line="276" w:lineRule="auto"/>
        <w:jc w:val="center"/>
        <w:rPr>
          <w:sz w:val="22"/>
          <w:szCs w:val="22"/>
        </w:rPr>
      </w:pPr>
    </w:p>
    <w:p w:rsidR="00F97C62" w:rsidRDefault="00F97C62" w:rsidP="005F13AD">
      <w:pPr>
        <w:pStyle w:val="CUERPO1"/>
        <w:spacing w:line="276" w:lineRule="auto"/>
        <w:rPr>
          <w:sz w:val="22"/>
          <w:szCs w:val="22"/>
        </w:rPr>
      </w:pPr>
    </w:p>
    <w:p w:rsidR="00061448" w:rsidRDefault="0004451E" w:rsidP="005F13AD">
      <w:pPr>
        <w:pStyle w:val="CUERPO1"/>
        <w:spacing w:line="276" w:lineRule="auto"/>
        <w:rPr>
          <w:sz w:val="22"/>
          <w:szCs w:val="22"/>
        </w:rPr>
      </w:pPr>
      <w:r w:rsidRPr="0004451E">
        <w:rPr>
          <w:sz w:val="22"/>
          <w:szCs w:val="22"/>
        </w:rPr>
        <w:lastRenderedPageBreak/>
        <w:t xml:space="preserve">Es preciso resaltar que el presupuesto asignado a la Contraloría de Bogotá D.C., está conformado por dos importantes rubros </w:t>
      </w:r>
      <w:r w:rsidR="003619AD">
        <w:rPr>
          <w:sz w:val="22"/>
          <w:szCs w:val="22"/>
        </w:rPr>
        <w:t>que corresponden a</w:t>
      </w:r>
      <w:r w:rsidRPr="0004451E">
        <w:rPr>
          <w:sz w:val="22"/>
          <w:szCs w:val="22"/>
        </w:rPr>
        <w:t>:</w:t>
      </w:r>
    </w:p>
    <w:p w:rsidR="00DC2AED" w:rsidRDefault="00DC2AED" w:rsidP="005F13AD">
      <w:pPr>
        <w:pStyle w:val="CUERPO1"/>
        <w:spacing w:line="276" w:lineRule="auto"/>
        <w:rPr>
          <w:sz w:val="22"/>
          <w:szCs w:val="22"/>
        </w:rPr>
      </w:pPr>
    </w:p>
    <w:p w:rsidR="0004451E" w:rsidRPr="0004451E" w:rsidRDefault="0004451E" w:rsidP="0004451E">
      <w:pPr>
        <w:pStyle w:val="CUERPO1"/>
        <w:numPr>
          <w:ilvl w:val="0"/>
          <w:numId w:val="4"/>
        </w:numPr>
        <w:spacing w:line="276" w:lineRule="auto"/>
        <w:rPr>
          <w:sz w:val="22"/>
          <w:szCs w:val="22"/>
        </w:rPr>
      </w:pPr>
      <w:r w:rsidRPr="009713AB">
        <w:rPr>
          <w:b/>
          <w:sz w:val="22"/>
          <w:szCs w:val="22"/>
        </w:rPr>
        <w:t>GASTOS DE FUNCIONAMIENTO:</w:t>
      </w:r>
      <w:r w:rsidRPr="0004451E">
        <w:rPr>
          <w:sz w:val="22"/>
          <w:szCs w:val="22"/>
        </w:rPr>
        <w:t xml:space="preserve"> Son las apropiaciones necesarias para el desarrollo de las actividades administrativas, técnicas y operativas.</w:t>
      </w:r>
    </w:p>
    <w:p w:rsidR="0004451E" w:rsidRPr="0004451E" w:rsidRDefault="0004451E" w:rsidP="007338F6">
      <w:pPr>
        <w:pStyle w:val="CUERPO1"/>
        <w:numPr>
          <w:ilvl w:val="0"/>
          <w:numId w:val="19"/>
        </w:numPr>
        <w:spacing w:line="276" w:lineRule="auto"/>
        <w:rPr>
          <w:sz w:val="22"/>
          <w:szCs w:val="22"/>
        </w:rPr>
      </w:pPr>
      <w:r w:rsidRPr="0004451E">
        <w:rPr>
          <w:b/>
          <w:sz w:val="22"/>
          <w:szCs w:val="22"/>
        </w:rPr>
        <w:t>Servicios Personales</w:t>
      </w:r>
      <w:r w:rsidRPr="00792E36">
        <w:rPr>
          <w:sz w:val="22"/>
          <w:szCs w:val="22"/>
        </w:rPr>
        <w:t xml:space="preserve">: Con participación del </w:t>
      </w:r>
      <w:r w:rsidR="00CF75D0">
        <w:rPr>
          <w:sz w:val="22"/>
          <w:szCs w:val="22"/>
        </w:rPr>
        <w:t>84.87</w:t>
      </w:r>
      <w:r w:rsidRPr="00792E36">
        <w:rPr>
          <w:sz w:val="22"/>
          <w:szCs w:val="22"/>
        </w:rPr>
        <w:t>% del total del presupuesto asignado para la vigencia 201</w:t>
      </w:r>
      <w:r w:rsidR="001A2074">
        <w:rPr>
          <w:sz w:val="22"/>
          <w:szCs w:val="22"/>
        </w:rPr>
        <w:t>8</w:t>
      </w:r>
      <w:r w:rsidR="00563BEB">
        <w:rPr>
          <w:sz w:val="22"/>
          <w:szCs w:val="22"/>
        </w:rPr>
        <w:t xml:space="preserve">, a </w:t>
      </w:r>
      <w:r w:rsidR="00AC3063">
        <w:rPr>
          <w:sz w:val="22"/>
          <w:szCs w:val="22"/>
        </w:rPr>
        <w:t>diciembre</w:t>
      </w:r>
      <w:r w:rsidR="0023149E" w:rsidRPr="00792E36">
        <w:rPr>
          <w:sz w:val="22"/>
          <w:szCs w:val="22"/>
        </w:rPr>
        <w:t xml:space="preserve"> </w:t>
      </w:r>
      <w:r w:rsidR="00083FF1" w:rsidRPr="00792E36">
        <w:rPr>
          <w:sz w:val="22"/>
          <w:szCs w:val="22"/>
        </w:rPr>
        <w:t>3</w:t>
      </w:r>
      <w:r w:rsidR="00AC3063">
        <w:rPr>
          <w:sz w:val="22"/>
          <w:szCs w:val="22"/>
        </w:rPr>
        <w:t>1</w:t>
      </w:r>
      <w:r w:rsidRPr="0004451E">
        <w:rPr>
          <w:sz w:val="22"/>
          <w:szCs w:val="22"/>
        </w:rPr>
        <w:t xml:space="preserve"> obtuvo una ejecución presupuestal de </w:t>
      </w:r>
      <w:r w:rsidR="00AC3063">
        <w:rPr>
          <w:sz w:val="22"/>
          <w:szCs w:val="22"/>
        </w:rPr>
        <w:t>99.62</w:t>
      </w:r>
      <w:r w:rsidR="00DF0EA3" w:rsidRPr="007338F6">
        <w:rPr>
          <w:sz w:val="22"/>
          <w:szCs w:val="22"/>
        </w:rPr>
        <w:t xml:space="preserve"> %</w:t>
      </w:r>
      <w:r w:rsidR="007338F6">
        <w:rPr>
          <w:sz w:val="22"/>
          <w:szCs w:val="22"/>
        </w:rPr>
        <w:t>.</w:t>
      </w:r>
    </w:p>
    <w:p w:rsidR="00217768" w:rsidRDefault="0004451E" w:rsidP="007C4B31">
      <w:pPr>
        <w:pStyle w:val="CUERPO1"/>
        <w:numPr>
          <w:ilvl w:val="0"/>
          <w:numId w:val="19"/>
        </w:numPr>
        <w:spacing w:line="276" w:lineRule="auto"/>
        <w:rPr>
          <w:sz w:val="22"/>
          <w:szCs w:val="22"/>
        </w:rPr>
      </w:pPr>
      <w:r w:rsidRPr="00222ABC">
        <w:rPr>
          <w:b/>
          <w:sz w:val="22"/>
          <w:szCs w:val="22"/>
        </w:rPr>
        <w:t>Gastos Generales:</w:t>
      </w:r>
      <w:r w:rsidR="00CE0766">
        <w:rPr>
          <w:sz w:val="22"/>
          <w:szCs w:val="22"/>
        </w:rPr>
        <w:t xml:space="preserve"> </w:t>
      </w:r>
      <w:r w:rsidR="00CE0766" w:rsidRPr="00792E36">
        <w:rPr>
          <w:sz w:val="22"/>
          <w:szCs w:val="22"/>
        </w:rPr>
        <w:t xml:space="preserve">Con participación del </w:t>
      </w:r>
      <w:r w:rsidR="00CF75D0">
        <w:rPr>
          <w:sz w:val="22"/>
          <w:szCs w:val="22"/>
        </w:rPr>
        <w:t>3.88</w:t>
      </w:r>
      <w:r w:rsidR="00792E36" w:rsidRPr="00792E36">
        <w:rPr>
          <w:sz w:val="22"/>
          <w:szCs w:val="22"/>
        </w:rPr>
        <w:t xml:space="preserve">% </w:t>
      </w:r>
      <w:r w:rsidRPr="00792E36">
        <w:rPr>
          <w:sz w:val="22"/>
          <w:szCs w:val="22"/>
        </w:rPr>
        <w:t>del total del presupuest</w:t>
      </w:r>
      <w:r w:rsidR="00A8420F" w:rsidRPr="00792E36">
        <w:rPr>
          <w:sz w:val="22"/>
          <w:szCs w:val="22"/>
        </w:rPr>
        <w:t>o asignado para la vigencia</w:t>
      </w:r>
      <w:r w:rsidR="00563BEB">
        <w:rPr>
          <w:sz w:val="22"/>
          <w:szCs w:val="22"/>
        </w:rPr>
        <w:t xml:space="preserve"> 2018 a </w:t>
      </w:r>
      <w:r w:rsidR="00AC3063">
        <w:rPr>
          <w:sz w:val="22"/>
          <w:szCs w:val="22"/>
        </w:rPr>
        <w:t>diciembre 31</w:t>
      </w:r>
      <w:r w:rsidRPr="00222ABC">
        <w:rPr>
          <w:sz w:val="22"/>
          <w:szCs w:val="22"/>
        </w:rPr>
        <w:t xml:space="preserve">. Se efectuó una ejecución presupuestal del </w:t>
      </w:r>
      <w:r w:rsidR="00AC3063">
        <w:rPr>
          <w:sz w:val="22"/>
          <w:szCs w:val="22"/>
        </w:rPr>
        <w:t>91.53</w:t>
      </w:r>
      <w:r w:rsidR="00222ABC" w:rsidRPr="00222ABC">
        <w:rPr>
          <w:sz w:val="22"/>
          <w:szCs w:val="22"/>
        </w:rPr>
        <w:t xml:space="preserve">% </w:t>
      </w:r>
    </w:p>
    <w:p w:rsidR="00251B6A" w:rsidRDefault="00251B6A" w:rsidP="001B3874">
      <w:pPr>
        <w:pStyle w:val="CUERPO1"/>
        <w:spacing w:line="276" w:lineRule="auto"/>
        <w:ind w:left="1080"/>
        <w:rPr>
          <w:sz w:val="22"/>
          <w:szCs w:val="22"/>
        </w:rPr>
      </w:pPr>
    </w:p>
    <w:p w:rsidR="00DC2AED" w:rsidRDefault="00DC2AED" w:rsidP="00DC2AED">
      <w:pPr>
        <w:pStyle w:val="CUERPO1"/>
        <w:spacing w:line="276" w:lineRule="auto"/>
        <w:ind w:left="1080"/>
        <w:rPr>
          <w:sz w:val="22"/>
          <w:szCs w:val="22"/>
        </w:rPr>
      </w:pPr>
    </w:p>
    <w:p w:rsidR="0004451E" w:rsidRPr="00222ABC" w:rsidRDefault="0004451E" w:rsidP="009B475E">
      <w:pPr>
        <w:pStyle w:val="CUERPO1"/>
        <w:numPr>
          <w:ilvl w:val="0"/>
          <w:numId w:val="4"/>
        </w:numPr>
        <w:spacing w:line="276" w:lineRule="auto"/>
        <w:rPr>
          <w:sz w:val="22"/>
          <w:szCs w:val="22"/>
        </w:rPr>
      </w:pPr>
      <w:r w:rsidRPr="00222ABC">
        <w:rPr>
          <w:b/>
          <w:sz w:val="22"/>
          <w:szCs w:val="22"/>
        </w:rPr>
        <w:t>INVERSIÓN</w:t>
      </w:r>
      <w:r w:rsidRPr="00222ABC">
        <w:rPr>
          <w:sz w:val="22"/>
          <w:szCs w:val="22"/>
        </w:rPr>
        <w:t>:</w:t>
      </w:r>
      <w:r w:rsidRPr="00222ABC">
        <w:rPr>
          <w:color w:val="000000"/>
          <w:sz w:val="22"/>
          <w:szCs w:val="22"/>
          <w:shd w:val="clear" w:color="auto" w:fill="FFFFFF"/>
        </w:rPr>
        <w:t xml:space="preserve"> Gastos en que incurre el Distrito para el desarrollo económico, social, cultural y ambiental de la ciudad, es decir, aquellos que contribuyen a mejorar el índice de calidad de vida de los ciudadanos y al cumplimiento del Plan de Desarrollo.</w:t>
      </w:r>
    </w:p>
    <w:p w:rsidR="0004451E" w:rsidRDefault="00251B6A" w:rsidP="00607C99">
      <w:pPr>
        <w:pStyle w:val="CUERPO1"/>
        <w:spacing w:line="276" w:lineRule="auto"/>
        <w:ind w:left="720"/>
        <w:rPr>
          <w:sz w:val="22"/>
          <w:szCs w:val="22"/>
        </w:rPr>
      </w:pPr>
      <w:r>
        <w:rPr>
          <w:sz w:val="22"/>
          <w:szCs w:val="22"/>
        </w:rPr>
        <w:t>A estos gastos</w:t>
      </w:r>
      <w:r w:rsidR="0004451E" w:rsidRPr="0004451E">
        <w:rPr>
          <w:sz w:val="22"/>
          <w:szCs w:val="22"/>
        </w:rPr>
        <w:t xml:space="preserve"> se le</w:t>
      </w:r>
      <w:r>
        <w:rPr>
          <w:sz w:val="22"/>
          <w:szCs w:val="22"/>
        </w:rPr>
        <w:t>s</w:t>
      </w:r>
      <w:r w:rsidR="0004451E" w:rsidRPr="0004451E">
        <w:rPr>
          <w:sz w:val="22"/>
          <w:szCs w:val="22"/>
        </w:rPr>
        <w:t xml:space="preserve"> asignó un presupuesto de $</w:t>
      </w:r>
      <w:r w:rsidR="00684243">
        <w:rPr>
          <w:sz w:val="22"/>
          <w:szCs w:val="22"/>
        </w:rPr>
        <w:t>15.858.385</w:t>
      </w:r>
      <w:r w:rsidR="00CF75D0">
        <w:rPr>
          <w:sz w:val="22"/>
          <w:szCs w:val="22"/>
        </w:rPr>
        <w:t xml:space="preserve">.000 </w:t>
      </w:r>
      <w:r w:rsidR="0004451E" w:rsidRPr="0004451E">
        <w:rPr>
          <w:sz w:val="22"/>
          <w:szCs w:val="22"/>
        </w:rPr>
        <w:t xml:space="preserve"> </w:t>
      </w:r>
      <w:r>
        <w:rPr>
          <w:sz w:val="22"/>
          <w:szCs w:val="22"/>
        </w:rPr>
        <w:t xml:space="preserve"> y </w:t>
      </w:r>
      <w:r w:rsidR="00607C99">
        <w:rPr>
          <w:sz w:val="22"/>
          <w:szCs w:val="22"/>
        </w:rPr>
        <w:t xml:space="preserve"> corresponden a la ejecución </w:t>
      </w:r>
      <w:r w:rsidR="002637A3">
        <w:rPr>
          <w:sz w:val="22"/>
          <w:szCs w:val="22"/>
        </w:rPr>
        <w:t>a 31 de diciembre</w:t>
      </w:r>
      <w:r w:rsidR="00684243">
        <w:rPr>
          <w:sz w:val="22"/>
          <w:szCs w:val="22"/>
        </w:rPr>
        <w:t xml:space="preserve"> del 2018 </w:t>
      </w:r>
      <w:r w:rsidR="002637A3">
        <w:rPr>
          <w:sz w:val="22"/>
          <w:szCs w:val="22"/>
        </w:rPr>
        <w:t>así</w:t>
      </w:r>
      <w:r w:rsidR="00684243">
        <w:rPr>
          <w:sz w:val="22"/>
          <w:szCs w:val="22"/>
        </w:rPr>
        <w:t>:</w:t>
      </w:r>
      <w:r w:rsidR="0013631F">
        <w:rPr>
          <w:sz w:val="22"/>
          <w:szCs w:val="22"/>
        </w:rPr>
        <w:t xml:space="preserve"> 1195 –</w:t>
      </w:r>
      <w:r w:rsidR="0004451E" w:rsidRPr="0004451E">
        <w:rPr>
          <w:sz w:val="22"/>
          <w:szCs w:val="22"/>
        </w:rPr>
        <w:t xml:space="preserve"> </w:t>
      </w:r>
      <w:r w:rsidR="00EB26E6">
        <w:rPr>
          <w:sz w:val="22"/>
          <w:szCs w:val="22"/>
        </w:rPr>
        <w:t>Forta</w:t>
      </w:r>
      <w:r w:rsidR="0013631F">
        <w:rPr>
          <w:sz w:val="22"/>
          <w:szCs w:val="22"/>
        </w:rPr>
        <w:t>lecimiento del Sistema integrado de gestión y de la capacidad institucional $</w:t>
      </w:r>
      <w:r w:rsidR="00A776B7">
        <w:rPr>
          <w:sz w:val="22"/>
          <w:szCs w:val="22"/>
        </w:rPr>
        <w:t>9.318.292.662</w:t>
      </w:r>
      <w:r w:rsidR="0013631F">
        <w:rPr>
          <w:sz w:val="22"/>
          <w:szCs w:val="22"/>
        </w:rPr>
        <w:t xml:space="preserve"> ; 1199 – Fortalecimiento del  </w:t>
      </w:r>
      <w:r w:rsidR="0004451E" w:rsidRPr="0004451E">
        <w:rPr>
          <w:sz w:val="22"/>
          <w:szCs w:val="22"/>
        </w:rPr>
        <w:t>Control Social a la Gestión Pública con asignación de $</w:t>
      </w:r>
      <w:r w:rsidR="00A776B7">
        <w:rPr>
          <w:sz w:val="22"/>
          <w:szCs w:val="22"/>
        </w:rPr>
        <w:t>2.188.331.510</w:t>
      </w:r>
      <w:r w:rsidR="0013631F">
        <w:rPr>
          <w:sz w:val="22"/>
          <w:szCs w:val="22"/>
        </w:rPr>
        <w:t>; 1196 – Fortalecimiento al Mejoramiento d</w:t>
      </w:r>
      <w:r w:rsidR="00BD6A6C">
        <w:rPr>
          <w:sz w:val="22"/>
          <w:szCs w:val="22"/>
        </w:rPr>
        <w:t>e la Infraestructura Física</w:t>
      </w:r>
      <w:r>
        <w:rPr>
          <w:sz w:val="22"/>
          <w:szCs w:val="22"/>
        </w:rPr>
        <w:t xml:space="preserve"> de la Contraloría de B</w:t>
      </w:r>
      <w:r w:rsidR="00A776B7">
        <w:rPr>
          <w:sz w:val="22"/>
          <w:szCs w:val="22"/>
        </w:rPr>
        <w:t xml:space="preserve">ogotá D.C. $800.000.000 </w:t>
      </w:r>
      <w:r w:rsidR="0004451E" w:rsidRPr="0004451E">
        <w:rPr>
          <w:sz w:val="22"/>
          <w:szCs w:val="22"/>
        </w:rPr>
        <w:t>y</w:t>
      </w:r>
      <w:r w:rsidR="0013631F">
        <w:rPr>
          <w:sz w:val="22"/>
          <w:szCs w:val="22"/>
        </w:rPr>
        <w:t xml:space="preserve"> 1194 - </w:t>
      </w:r>
      <w:r w:rsidR="0004451E" w:rsidRPr="0004451E">
        <w:rPr>
          <w:sz w:val="22"/>
          <w:szCs w:val="22"/>
        </w:rPr>
        <w:t xml:space="preserve"> Fortalecimien</w:t>
      </w:r>
      <w:r w:rsidR="0013631F">
        <w:rPr>
          <w:sz w:val="22"/>
          <w:szCs w:val="22"/>
        </w:rPr>
        <w:t>to de la Infraestructura de Tecnologías de la información y las comunicaciones de la Contraloría de Bogotá D.C</w:t>
      </w:r>
      <w:r w:rsidR="0004451E" w:rsidRPr="0004451E">
        <w:rPr>
          <w:sz w:val="22"/>
          <w:szCs w:val="22"/>
        </w:rPr>
        <w:t xml:space="preserve"> </w:t>
      </w:r>
      <w:r w:rsidR="00A776B7">
        <w:rPr>
          <w:sz w:val="22"/>
          <w:szCs w:val="22"/>
        </w:rPr>
        <w:t>$3.262.580.750</w:t>
      </w:r>
      <w:r w:rsidR="006F5240">
        <w:rPr>
          <w:sz w:val="22"/>
          <w:szCs w:val="22"/>
        </w:rPr>
        <w:t xml:space="preserve"> </w:t>
      </w:r>
      <w:r w:rsidR="0013631F">
        <w:rPr>
          <w:sz w:val="22"/>
          <w:szCs w:val="22"/>
        </w:rPr>
        <w:t>de los cuales s</w:t>
      </w:r>
      <w:r w:rsidR="00A776B7">
        <w:rPr>
          <w:sz w:val="22"/>
          <w:szCs w:val="22"/>
        </w:rPr>
        <w:t xml:space="preserve">e ejecutaron  $15.569.204.922 </w:t>
      </w:r>
      <w:r w:rsidR="00AC4257">
        <w:rPr>
          <w:sz w:val="22"/>
          <w:szCs w:val="22"/>
        </w:rPr>
        <w:t>La ejecución de cada uno de los proyectos es</w:t>
      </w:r>
      <w:r w:rsidR="00A776B7">
        <w:rPr>
          <w:sz w:val="22"/>
          <w:szCs w:val="22"/>
        </w:rPr>
        <w:t xml:space="preserve"> la siguiente: proyecto 1195 (99.71%), proyecto 1199 (99.84</w:t>
      </w:r>
      <w:r w:rsidR="00AC4257">
        <w:rPr>
          <w:sz w:val="22"/>
          <w:szCs w:val="22"/>
        </w:rPr>
        <w:t xml:space="preserve">%), Proyecto 1196 </w:t>
      </w:r>
      <w:r w:rsidR="00A776B7">
        <w:rPr>
          <w:sz w:val="22"/>
          <w:szCs w:val="22"/>
        </w:rPr>
        <w:t>(90.91%)</w:t>
      </w:r>
      <w:r w:rsidR="00AC4257">
        <w:rPr>
          <w:sz w:val="22"/>
          <w:szCs w:val="22"/>
        </w:rPr>
        <w:t xml:space="preserve"> y </w:t>
      </w:r>
      <w:r w:rsidR="00684243">
        <w:rPr>
          <w:sz w:val="22"/>
          <w:szCs w:val="22"/>
        </w:rPr>
        <w:t>proyecto</w:t>
      </w:r>
      <w:r w:rsidR="00A776B7">
        <w:rPr>
          <w:sz w:val="22"/>
          <w:szCs w:val="22"/>
        </w:rPr>
        <w:t xml:space="preserve"> 1194 (99.63</w:t>
      </w:r>
      <w:r w:rsidR="00AC4257">
        <w:rPr>
          <w:sz w:val="22"/>
          <w:szCs w:val="22"/>
        </w:rPr>
        <w:t xml:space="preserve">%) </w:t>
      </w:r>
      <w:r>
        <w:rPr>
          <w:sz w:val="22"/>
          <w:szCs w:val="22"/>
        </w:rPr>
        <w:t xml:space="preserve">  respectivamente</w:t>
      </w:r>
      <w:r w:rsidR="00E21DBA">
        <w:rPr>
          <w:sz w:val="22"/>
          <w:szCs w:val="22"/>
        </w:rPr>
        <w:t>.</w:t>
      </w:r>
      <w:r w:rsidR="006F5240">
        <w:rPr>
          <w:sz w:val="22"/>
          <w:szCs w:val="22"/>
        </w:rPr>
        <w:t xml:space="preserve"> </w:t>
      </w:r>
      <w:r w:rsidR="00DF0EA3">
        <w:rPr>
          <w:sz w:val="22"/>
          <w:szCs w:val="22"/>
        </w:rPr>
        <w:t>Para un total de ejecución de la inversión de $</w:t>
      </w:r>
      <w:r w:rsidR="00DF0EA3" w:rsidRPr="0095685D">
        <w:rPr>
          <w:sz w:val="18"/>
        </w:rPr>
        <w:t>15.735.690.082</w:t>
      </w:r>
      <w:r w:rsidR="00DF0EA3">
        <w:rPr>
          <w:sz w:val="18"/>
        </w:rPr>
        <w:t xml:space="preserve"> que equivale al 99.23%</w:t>
      </w:r>
    </w:p>
    <w:p w:rsidR="00FC59EF" w:rsidRDefault="00FC59EF" w:rsidP="0004451E">
      <w:pPr>
        <w:pStyle w:val="CUERPO1"/>
        <w:spacing w:line="276" w:lineRule="auto"/>
        <w:ind w:left="720"/>
        <w:rPr>
          <w:sz w:val="22"/>
          <w:szCs w:val="22"/>
        </w:rPr>
      </w:pPr>
    </w:p>
    <w:p w:rsidR="00A74985" w:rsidRDefault="00B0015D" w:rsidP="00A77DA5">
      <w:pPr>
        <w:pStyle w:val="CUERPO1"/>
        <w:numPr>
          <w:ilvl w:val="2"/>
          <w:numId w:val="14"/>
        </w:numPr>
        <w:spacing w:line="276" w:lineRule="auto"/>
        <w:rPr>
          <w:b/>
          <w:sz w:val="22"/>
          <w:szCs w:val="22"/>
          <w:lang w:val="es-MX"/>
        </w:rPr>
      </w:pPr>
      <w:r>
        <w:rPr>
          <w:b/>
          <w:sz w:val="22"/>
          <w:szCs w:val="22"/>
          <w:lang w:val="es-MX"/>
        </w:rPr>
        <w:t>Ejecución de los R</w:t>
      </w:r>
      <w:r w:rsidR="00760C73" w:rsidRPr="00A74985">
        <w:rPr>
          <w:b/>
          <w:sz w:val="22"/>
          <w:szCs w:val="22"/>
          <w:lang w:val="es-MX"/>
        </w:rPr>
        <w:t>ecursos</w:t>
      </w:r>
    </w:p>
    <w:p w:rsidR="00DC2AED" w:rsidRPr="00B0015D" w:rsidRDefault="00DC2AED" w:rsidP="00DC2AED">
      <w:pPr>
        <w:pStyle w:val="CUERPO1"/>
        <w:spacing w:line="276" w:lineRule="auto"/>
        <w:ind w:left="720"/>
        <w:rPr>
          <w:b/>
          <w:sz w:val="22"/>
          <w:szCs w:val="22"/>
          <w:lang w:val="es-MX"/>
        </w:rPr>
      </w:pPr>
    </w:p>
    <w:p w:rsidR="0000618D" w:rsidRPr="00760C73" w:rsidRDefault="006F5240" w:rsidP="00760C73">
      <w:pPr>
        <w:pStyle w:val="CUERPO1"/>
        <w:spacing w:line="276" w:lineRule="auto"/>
        <w:rPr>
          <w:sz w:val="22"/>
          <w:szCs w:val="22"/>
          <w:lang w:val="es-MX"/>
        </w:rPr>
      </w:pPr>
      <w:r w:rsidRPr="00DA772C">
        <w:rPr>
          <w:b/>
          <w:sz w:val="22"/>
          <w:szCs w:val="22"/>
          <w:lang w:val="es-MX"/>
        </w:rPr>
        <w:t>OBJETIVO DEL INDICADOR:</w:t>
      </w:r>
      <w:r w:rsidRPr="00760C73">
        <w:rPr>
          <w:sz w:val="22"/>
          <w:szCs w:val="22"/>
          <w:lang w:val="es-MX"/>
        </w:rPr>
        <w:t xml:space="preserve"> </w:t>
      </w:r>
      <w:r w:rsidR="0000618D" w:rsidRPr="00760C73">
        <w:rPr>
          <w:sz w:val="22"/>
          <w:szCs w:val="22"/>
          <w:lang w:val="es-MX"/>
        </w:rPr>
        <w:t xml:space="preserve">Medir el porcentaje del PAC ejecutado respecto al PAC programado. </w:t>
      </w:r>
    </w:p>
    <w:p w:rsidR="006F5240" w:rsidRDefault="006F5240" w:rsidP="006F5240">
      <w:pPr>
        <w:pStyle w:val="CUERPO1"/>
        <w:spacing w:line="276" w:lineRule="auto"/>
        <w:rPr>
          <w:sz w:val="22"/>
          <w:szCs w:val="22"/>
          <w:lang w:val="es-MX"/>
        </w:rPr>
      </w:pPr>
      <w:r w:rsidRPr="00DA772C">
        <w:rPr>
          <w:b/>
          <w:sz w:val="22"/>
          <w:szCs w:val="22"/>
          <w:lang w:val="es-MX"/>
        </w:rPr>
        <w:t>FÓRMULA:</w:t>
      </w:r>
      <w:r>
        <w:rPr>
          <w:sz w:val="22"/>
          <w:szCs w:val="22"/>
          <w:lang w:val="es-MX"/>
        </w:rPr>
        <w:t xml:space="preserve"> </w:t>
      </w:r>
      <m:oMath>
        <m:f>
          <m:fPr>
            <m:ctrlPr>
              <w:rPr>
                <w:rFonts w:ascii="Cambria Math" w:hAnsi="Cambria Math"/>
                <w:i/>
                <w:sz w:val="22"/>
                <w:szCs w:val="22"/>
                <w:lang w:val="es-MX"/>
              </w:rPr>
            </m:ctrlPr>
          </m:fPr>
          <m:num>
            <m:r>
              <w:rPr>
                <w:rFonts w:ascii="Cambria Math" w:hAnsi="Cambria Math"/>
                <w:sz w:val="22"/>
                <w:szCs w:val="22"/>
                <w:lang w:val="es-MX"/>
              </w:rPr>
              <m:t>PAC ejecutado</m:t>
            </m:r>
          </m:num>
          <m:den>
            <m:r>
              <w:rPr>
                <w:rFonts w:ascii="Cambria Math" w:hAnsi="Cambria Math"/>
                <w:sz w:val="22"/>
                <w:szCs w:val="22"/>
                <w:lang w:val="es-MX"/>
              </w:rPr>
              <m:t>PAC programado</m:t>
            </m:r>
          </m:den>
        </m:f>
      </m:oMath>
    </w:p>
    <w:p w:rsidR="006F5240" w:rsidRDefault="006F5240" w:rsidP="006F5240">
      <w:pPr>
        <w:pStyle w:val="CUERPO1"/>
        <w:spacing w:line="276" w:lineRule="auto"/>
        <w:rPr>
          <w:sz w:val="22"/>
          <w:szCs w:val="22"/>
          <w:lang w:val="es-MX"/>
        </w:rPr>
      </w:pPr>
      <w:r w:rsidRPr="00DA772C">
        <w:rPr>
          <w:b/>
          <w:sz w:val="22"/>
          <w:szCs w:val="22"/>
          <w:lang w:val="es-MX"/>
        </w:rPr>
        <w:lastRenderedPageBreak/>
        <w:t>RESULTADO:</w:t>
      </w:r>
      <w:r>
        <w:rPr>
          <w:sz w:val="22"/>
          <w:szCs w:val="22"/>
          <w:lang w:val="es-MX"/>
        </w:rPr>
        <w:t xml:space="preserve"> </w:t>
      </w:r>
      <w:r w:rsidR="0090669E">
        <w:rPr>
          <w:sz w:val="22"/>
          <w:szCs w:val="22"/>
          <w:lang w:val="es-MX"/>
        </w:rPr>
        <w:t>93.66</w:t>
      </w:r>
      <w:r>
        <w:rPr>
          <w:sz w:val="22"/>
          <w:szCs w:val="22"/>
          <w:lang w:val="es-MX"/>
        </w:rPr>
        <w:t>%</w:t>
      </w:r>
    </w:p>
    <w:p w:rsidR="006F5240" w:rsidRDefault="006F5240" w:rsidP="006F5240">
      <w:pPr>
        <w:pStyle w:val="CUERPO1"/>
        <w:spacing w:line="276" w:lineRule="auto"/>
        <w:rPr>
          <w:sz w:val="22"/>
          <w:szCs w:val="22"/>
          <w:lang w:val="es-MX"/>
        </w:rPr>
      </w:pPr>
      <w:r w:rsidRPr="00DC2AED">
        <w:rPr>
          <w:b/>
          <w:sz w:val="22"/>
          <w:szCs w:val="22"/>
          <w:lang w:val="es-MX"/>
        </w:rPr>
        <w:t>ANÁLISIS:</w:t>
      </w:r>
      <w:r w:rsidRPr="0077747A">
        <w:rPr>
          <w:sz w:val="22"/>
          <w:szCs w:val="22"/>
          <w:lang w:val="es-MX"/>
        </w:rPr>
        <w:t xml:space="preserve"> </w:t>
      </w:r>
      <w:r w:rsidR="002637A3">
        <w:rPr>
          <w:sz w:val="22"/>
          <w:szCs w:val="22"/>
          <w:lang w:val="es-MX"/>
        </w:rPr>
        <w:t>A 31</w:t>
      </w:r>
      <w:r w:rsidR="007E3664">
        <w:rPr>
          <w:sz w:val="22"/>
          <w:szCs w:val="22"/>
          <w:lang w:val="es-MX"/>
        </w:rPr>
        <w:t xml:space="preserve"> de </w:t>
      </w:r>
      <w:r w:rsidR="002637A3">
        <w:rPr>
          <w:sz w:val="22"/>
          <w:szCs w:val="22"/>
          <w:lang w:val="es-MX"/>
        </w:rPr>
        <w:t>diciembre</w:t>
      </w:r>
      <w:r w:rsidR="003619AD">
        <w:rPr>
          <w:sz w:val="22"/>
          <w:szCs w:val="22"/>
          <w:lang w:val="es-MX"/>
        </w:rPr>
        <w:t>,</w:t>
      </w:r>
      <w:r w:rsidR="007E3664">
        <w:rPr>
          <w:sz w:val="22"/>
          <w:szCs w:val="22"/>
          <w:lang w:val="es-MX"/>
        </w:rPr>
        <w:t xml:space="preserve"> </w:t>
      </w:r>
      <w:r w:rsidR="0000618D" w:rsidRPr="0000618D">
        <w:rPr>
          <w:sz w:val="22"/>
          <w:szCs w:val="22"/>
          <w:lang w:val="es-MX"/>
        </w:rPr>
        <w:t xml:space="preserve">el área de tesorería </w:t>
      </w:r>
      <w:r w:rsidR="0093002D">
        <w:rPr>
          <w:sz w:val="22"/>
          <w:szCs w:val="22"/>
          <w:lang w:val="es-MX"/>
        </w:rPr>
        <w:t xml:space="preserve">ejecutó </w:t>
      </w:r>
      <w:r w:rsidR="0000618D" w:rsidRPr="0000618D">
        <w:rPr>
          <w:sz w:val="22"/>
          <w:szCs w:val="22"/>
          <w:lang w:val="es-MX"/>
        </w:rPr>
        <w:t xml:space="preserve">el </w:t>
      </w:r>
      <w:r w:rsidR="00673704">
        <w:rPr>
          <w:sz w:val="22"/>
          <w:szCs w:val="22"/>
          <w:lang w:val="es-MX"/>
        </w:rPr>
        <w:t>95</w:t>
      </w:r>
      <w:r w:rsidR="0011630B">
        <w:rPr>
          <w:sz w:val="22"/>
          <w:szCs w:val="22"/>
          <w:lang w:val="es-MX"/>
        </w:rPr>
        <w:t>%</w:t>
      </w:r>
      <w:r w:rsidR="00CF623F">
        <w:rPr>
          <w:sz w:val="22"/>
          <w:szCs w:val="22"/>
          <w:lang w:val="es-MX"/>
        </w:rPr>
        <w:t xml:space="preserve"> del</w:t>
      </w:r>
      <w:r w:rsidR="0090669E">
        <w:rPr>
          <w:sz w:val="22"/>
          <w:szCs w:val="22"/>
          <w:lang w:val="es-MX"/>
        </w:rPr>
        <w:t xml:space="preserve"> PAC programado hasta diciembre</w:t>
      </w:r>
      <w:r w:rsidR="00CF623F">
        <w:rPr>
          <w:sz w:val="22"/>
          <w:szCs w:val="22"/>
          <w:lang w:val="es-MX"/>
        </w:rPr>
        <w:t xml:space="preserve"> </w:t>
      </w:r>
      <w:r w:rsidR="0011630B">
        <w:rPr>
          <w:sz w:val="22"/>
          <w:szCs w:val="22"/>
          <w:lang w:val="es-MX"/>
        </w:rPr>
        <w:t>d</w:t>
      </w:r>
      <w:r w:rsidR="00563BEB">
        <w:rPr>
          <w:sz w:val="22"/>
          <w:szCs w:val="22"/>
          <w:lang w:val="es-MX"/>
        </w:rPr>
        <w:t>el año 2018</w:t>
      </w:r>
      <w:r w:rsidR="00607C99">
        <w:rPr>
          <w:sz w:val="22"/>
          <w:szCs w:val="22"/>
          <w:lang w:val="es-MX"/>
        </w:rPr>
        <w:t>. E</w:t>
      </w:r>
      <w:r w:rsidR="00A31AC0">
        <w:rPr>
          <w:sz w:val="22"/>
          <w:szCs w:val="22"/>
          <w:lang w:val="es-MX"/>
        </w:rPr>
        <w:t>s</w:t>
      </w:r>
      <w:r w:rsidR="0000618D" w:rsidRPr="0000618D">
        <w:rPr>
          <w:sz w:val="22"/>
          <w:szCs w:val="22"/>
          <w:lang w:val="es-MX"/>
        </w:rPr>
        <w:t xml:space="preserve">te indicador </w:t>
      </w:r>
      <w:r w:rsidR="0000618D" w:rsidRPr="00F65C36">
        <w:rPr>
          <w:sz w:val="22"/>
          <w:szCs w:val="22"/>
          <w:lang w:val="es-MX"/>
        </w:rPr>
        <w:t>presenta un niv</w:t>
      </w:r>
      <w:r w:rsidR="0090669E">
        <w:rPr>
          <w:sz w:val="22"/>
          <w:szCs w:val="22"/>
          <w:lang w:val="es-MX"/>
        </w:rPr>
        <w:t>el de calificación satisfactorio</w:t>
      </w:r>
      <w:r w:rsidR="0000618D" w:rsidRPr="00F65C36">
        <w:rPr>
          <w:sz w:val="22"/>
          <w:szCs w:val="22"/>
          <w:lang w:val="es-MX"/>
        </w:rPr>
        <w:t xml:space="preserve"> de acuerdo a la meta establecida inicialmente.</w:t>
      </w:r>
    </w:p>
    <w:p w:rsidR="00BB494A" w:rsidRDefault="0093002D" w:rsidP="006F5240">
      <w:pPr>
        <w:pStyle w:val="CUERPO1"/>
        <w:spacing w:line="276" w:lineRule="auto"/>
        <w:rPr>
          <w:sz w:val="22"/>
          <w:szCs w:val="22"/>
          <w:lang w:val="es-MX"/>
        </w:rPr>
      </w:pPr>
      <w:r>
        <w:rPr>
          <w:sz w:val="22"/>
          <w:szCs w:val="22"/>
          <w:lang w:val="es-MX"/>
        </w:rPr>
        <w:t xml:space="preserve">El siguiente cuadro muestra </w:t>
      </w:r>
      <w:r w:rsidR="0000618D">
        <w:rPr>
          <w:sz w:val="22"/>
          <w:szCs w:val="22"/>
          <w:lang w:val="es-MX"/>
        </w:rPr>
        <w:t>el movimi</w:t>
      </w:r>
      <w:r w:rsidR="00895EF3">
        <w:rPr>
          <w:sz w:val="22"/>
          <w:szCs w:val="22"/>
          <w:lang w:val="es-MX"/>
        </w:rPr>
        <w:t>ento mensual del PAC programado y</w:t>
      </w:r>
      <w:r w:rsidR="0000618D">
        <w:rPr>
          <w:sz w:val="22"/>
          <w:szCs w:val="22"/>
          <w:lang w:val="es-MX"/>
        </w:rPr>
        <w:t xml:space="preserve"> </w:t>
      </w:r>
      <w:r w:rsidR="00895EF3">
        <w:rPr>
          <w:sz w:val="22"/>
          <w:szCs w:val="22"/>
          <w:lang w:val="es-MX"/>
        </w:rPr>
        <w:t xml:space="preserve">PAC </w:t>
      </w:r>
      <w:r w:rsidR="00042D92">
        <w:rPr>
          <w:sz w:val="22"/>
          <w:szCs w:val="22"/>
          <w:lang w:val="es-MX"/>
        </w:rPr>
        <w:t>ejecutado:</w:t>
      </w:r>
      <w:r w:rsidR="00BB494A">
        <w:rPr>
          <w:sz w:val="22"/>
          <w:szCs w:val="22"/>
          <w:lang w:val="es-MX"/>
        </w:rPr>
        <w:t xml:space="preserve"> </w:t>
      </w:r>
    </w:p>
    <w:p w:rsidR="00BB494A" w:rsidRDefault="00BB494A" w:rsidP="006F5240">
      <w:pPr>
        <w:pStyle w:val="CUERPO1"/>
        <w:spacing w:line="276" w:lineRule="auto"/>
        <w:rPr>
          <w:sz w:val="22"/>
          <w:szCs w:val="22"/>
          <w:lang w:val="es-MX"/>
        </w:rPr>
      </w:pPr>
    </w:p>
    <w:p w:rsidR="00673704" w:rsidRPr="00673704" w:rsidRDefault="00673704" w:rsidP="00673704">
      <w:pPr>
        <w:jc w:val="center"/>
        <w:rPr>
          <w:rFonts w:ascii="Arial" w:hAnsi="Arial" w:cs="Arial"/>
          <w:sz w:val="22"/>
          <w:szCs w:val="22"/>
          <w:lang w:val="es-MX"/>
        </w:rPr>
      </w:pPr>
      <w:r w:rsidRPr="00673704">
        <w:rPr>
          <w:rFonts w:ascii="Arial" w:hAnsi="Arial" w:cs="Arial"/>
          <w:sz w:val="22"/>
          <w:szCs w:val="22"/>
          <w:lang w:val="es-MX"/>
        </w:rPr>
        <w:t>CUADRO No. 5</w:t>
      </w:r>
    </w:p>
    <w:p w:rsidR="00673704" w:rsidRPr="00673704" w:rsidRDefault="00673704" w:rsidP="00673704">
      <w:pPr>
        <w:jc w:val="center"/>
        <w:rPr>
          <w:rFonts w:ascii="Arial" w:hAnsi="Arial" w:cs="Arial"/>
          <w:sz w:val="22"/>
          <w:szCs w:val="22"/>
          <w:lang w:val="es-MX"/>
        </w:rPr>
      </w:pPr>
      <w:r w:rsidRPr="00673704">
        <w:rPr>
          <w:rFonts w:ascii="Arial" w:hAnsi="Arial" w:cs="Arial"/>
          <w:sz w:val="22"/>
          <w:szCs w:val="22"/>
          <w:lang w:val="es-MX"/>
        </w:rPr>
        <w:t>PROGRAMACIÒN ANUAL DE CAJA</w:t>
      </w:r>
    </w:p>
    <w:p w:rsidR="00B45AE4" w:rsidRDefault="00673704" w:rsidP="00673704">
      <w:pPr>
        <w:pStyle w:val="CUERPO1"/>
        <w:spacing w:line="276" w:lineRule="auto"/>
        <w:jc w:val="center"/>
        <w:rPr>
          <w:sz w:val="22"/>
          <w:szCs w:val="22"/>
          <w:lang w:val="es-MX"/>
        </w:rPr>
      </w:pPr>
      <w:r w:rsidRPr="00673704">
        <w:rPr>
          <w:sz w:val="22"/>
          <w:szCs w:val="22"/>
          <w:lang w:val="es-MX"/>
        </w:rPr>
        <w:t>a 31 de diciembre de 2018</w:t>
      </w:r>
    </w:p>
    <w:p w:rsidR="00BB494A" w:rsidRDefault="00BB494A" w:rsidP="00673704">
      <w:pPr>
        <w:pStyle w:val="CUERPO1"/>
        <w:spacing w:line="276" w:lineRule="auto"/>
        <w:jc w:val="center"/>
        <w:rPr>
          <w:sz w:val="22"/>
          <w:szCs w:val="22"/>
          <w:lang w:val="es-MX"/>
        </w:rPr>
      </w:pPr>
    </w:p>
    <w:tbl>
      <w:tblPr>
        <w:tblW w:w="5780" w:type="dxa"/>
        <w:jc w:val="center"/>
        <w:tblCellMar>
          <w:left w:w="70" w:type="dxa"/>
          <w:right w:w="70" w:type="dxa"/>
        </w:tblCellMar>
        <w:tblLook w:val="04A0" w:firstRow="1" w:lastRow="0" w:firstColumn="1" w:lastColumn="0" w:noHBand="0" w:noVBand="1"/>
      </w:tblPr>
      <w:tblGrid>
        <w:gridCol w:w="1880"/>
        <w:gridCol w:w="1920"/>
        <w:gridCol w:w="1980"/>
      </w:tblGrid>
      <w:tr w:rsidR="00BB494A" w:rsidRPr="00BB494A" w:rsidTr="00673704">
        <w:trPr>
          <w:trHeight w:val="300"/>
          <w:jc w:val="center"/>
        </w:trPr>
        <w:tc>
          <w:tcPr>
            <w:tcW w:w="1880" w:type="dxa"/>
            <w:tcBorders>
              <w:top w:val="single" w:sz="4" w:space="0" w:color="auto"/>
              <w:left w:val="single" w:sz="4" w:space="0" w:color="auto"/>
              <w:bottom w:val="nil"/>
              <w:right w:val="single" w:sz="4"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MES</w:t>
            </w:r>
          </w:p>
        </w:tc>
        <w:tc>
          <w:tcPr>
            <w:tcW w:w="1920" w:type="dxa"/>
            <w:tcBorders>
              <w:top w:val="single" w:sz="8" w:space="0" w:color="auto"/>
              <w:left w:val="nil"/>
              <w:bottom w:val="nil"/>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PROGRAMADO</w:t>
            </w:r>
          </w:p>
        </w:tc>
        <w:tc>
          <w:tcPr>
            <w:tcW w:w="1980" w:type="dxa"/>
            <w:tcBorders>
              <w:top w:val="single" w:sz="8" w:space="0" w:color="auto"/>
              <w:left w:val="nil"/>
              <w:bottom w:val="nil"/>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EJECUTADO</w:t>
            </w:r>
          </w:p>
        </w:tc>
      </w:tr>
      <w:tr w:rsidR="00BB494A" w:rsidRPr="00BB494A" w:rsidTr="00673704">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ENERO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$ 15.361.084.858</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$ 11.851.201.779</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FEBRERO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$ 8.737.367.948</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$ 8.615.028.620</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MARZO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$ 9.985.346.652</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$ 9.761.436.272</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ABRIL</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$ 10.317.889.268</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$ 9.976.941.425</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MAYO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$ 10.494.908.166</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$ 10.415.809.301</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JUNIO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$ 18.323.621.815</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$ 17.183.992.612</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JULIO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$ 10.850.054.864</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$ 10.813.602.707</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AGOSTO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$ 10.604.537.454</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$ 10.421.204.343</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SEPTIEMBRE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$ 10.142.490.587</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$ 10.090.770.363</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OCTUBRE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$ 10.633.526.777</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$ 9.881.736.434</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NOVIEMBRE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$ 11.115.317.607</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$ 10.536.824.053</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Diciembre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$ 23.319.037.754</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$ 20.839.351.314</w:t>
            </w:r>
          </w:p>
        </w:tc>
      </w:tr>
      <w:tr w:rsidR="00BB494A" w:rsidRPr="00BB494A" w:rsidTr="00673704">
        <w:trPr>
          <w:trHeight w:val="315"/>
          <w:jc w:val="center"/>
        </w:trPr>
        <w:tc>
          <w:tcPr>
            <w:tcW w:w="1880" w:type="dxa"/>
            <w:tcBorders>
              <w:top w:val="nil"/>
              <w:left w:val="single" w:sz="8" w:space="0" w:color="auto"/>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TOTAL</w:t>
            </w:r>
          </w:p>
        </w:tc>
        <w:tc>
          <w:tcPr>
            <w:tcW w:w="1920" w:type="dxa"/>
            <w:tcBorders>
              <w:top w:val="nil"/>
              <w:left w:val="nil"/>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$ 148.103.486.000</w:t>
            </w:r>
          </w:p>
        </w:tc>
        <w:tc>
          <w:tcPr>
            <w:tcW w:w="1980" w:type="dxa"/>
            <w:tcBorders>
              <w:top w:val="nil"/>
              <w:left w:val="nil"/>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$ 140.387.899.223</w:t>
            </w:r>
          </w:p>
        </w:tc>
      </w:tr>
      <w:tr w:rsidR="00BB494A" w:rsidRPr="00BB494A" w:rsidTr="00673704">
        <w:trPr>
          <w:trHeight w:val="315"/>
          <w:jc w:val="center"/>
        </w:trPr>
        <w:tc>
          <w:tcPr>
            <w:tcW w:w="1880" w:type="dxa"/>
            <w:tcBorders>
              <w:top w:val="nil"/>
              <w:left w:val="single" w:sz="8" w:space="0" w:color="auto"/>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PARTICIPACIÒN</w:t>
            </w:r>
          </w:p>
        </w:tc>
        <w:tc>
          <w:tcPr>
            <w:tcW w:w="390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val="es-ES" w:eastAsia="es-ES"/>
              </w:rPr>
              <w:t>95%</w:t>
            </w:r>
          </w:p>
        </w:tc>
      </w:tr>
      <w:tr w:rsidR="00BB494A" w:rsidRPr="00BB494A" w:rsidTr="00673704">
        <w:trPr>
          <w:trHeight w:val="300"/>
          <w:jc w:val="center"/>
        </w:trPr>
        <w:tc>
          <w:tcPr>
            <w:tcW w:w="3800" w:type="dxa"/>
            <w:gridSpan w:val="2"/>
            <w:tcBorders>
              <w:top w:val="single" w:sz="8" w:space="0" w:color="auto"/>
              <w:left w:val="nil"/>
              <w:bottom w:val="nil"/>
              <w:right w:val="nil"/>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Fuente: Subdirección Financiera</w:t>
            </w:r>
          </w:p>
        </w:tc>
        <w:tc>
          <w:tcPr>
            <w:tcW w:w="1980" w:type="dxa"/>
            <w:tcBorders>
              <w:top w:val="nil"/>
              <w:left w:val="nil"/>
              <w:bottom w:val="nil"/>
              <w:right w:val="nil"/>
            </w:tcBorders>
            <w:shd w:val="clear" w:color="auto" w:fill="auto"/>
            <w:noWrap/>
            <w:vAlign w:val="bottom"/>
            <w:hideMark/>
          </w:tcPr>
          <w:p w:rsidR="00BB494A" w:rsidRPr="00BB494A" w:rsidRDefault="00BB494A" w:rsidP="00673704">
            <w:pPr>
              <w:spacing w:after="0" w:line="240" w:lineRule="auto"/>
              <w:jc w:val="center"/>
              <w:rPr>
                <w:rFonts w:cs="Calibri"/>
                <w:color w:val="000000"/>
                <w:sz w:val="22"/>
                <w:szCs w:val="22"/>
                <w:lang w:val="es-ES" w:eastAsia="es-ES"/>
              </w:rPr>
            </w:pPr>
          </w:p>
        </w:tc>
      </w:tr>
    </w:tbl>
    <w:p w:rsidR="0090669E" w:rsidRDefault="0090669E" w:rsidP="006F5240">
      <w:pPr>
        <w:pStyle w:val="CUERPO1"/>
        <w:spacing w:line="276" w:lineRule="auto"/>
        <w:rPr>
          <w:sz w:val="22"/>
          <w:szCs w:val="22"/>
        </w:rPr>
      </w:pPr>
    </w:p>
    <w:p w:rsidR="002D1A39" w:rsidRDefault="003A5C2C" w:rsidP="006F5240">
      <w:pPr>
        <w:pStyle w:val="CUERPO1"/>
        <w:spacing w:line="276" w:lineRule="auto"/>
        <w:rPr>
          <w:sz w:val="22"/>
          <w:szCs w:val="22"/>
          <w:lang w:val="es-MX"/>
        </w:rPr>
      </w:pPr>
      <w:r>
        <w:rPr>
          <w:sz w:val="22"/>
          <w:szCs w:val="22"/>
          <w:lang w:val="es-MX"/>
        </w:rPr>
        <w:t xml:space="preserve">Del cuadro 5 </w:t>
      </w:r>
      <w:r w:rsidR="00190E5A">
        <w:rPr>
          <w:sz w:val="22"/>
          <w:szCs w:val="22"/>
          <w:lang w:val="es-MX"/>
        </w:rPr>
        <w:t xml:space="preserve">se observa </w:t>
      </w:r>
      <w:r w:rsidR="00054A3C">
        <w:rPr>
          <w:sz w:val="22"/>
          <w:szCs w:val="22"/>
          <w:lang w:val="es-MX"/>
        </w:rPr>
        <w:t xml:space="preserve">que </w:t>
      </w:r>
      <w:r w:rsidR="00563BEB">
        <w:rPr>
          <w:sz w:val="22"/>
          <w:szCs w:val="22"/>
          <w:lang w:val="es-MX"/>
        </w:rPr>
        <w:t xml:space="preserve">a </w:t>
      </w:r>
      <w:r w:rsidR="002637A3">
        <w:rPr>
          <w:sz w:val="22"/>
          <w:szCs w:val="22"/>
        </w:rPr>
        <w:t>diciembre</w:t>
      </w:r>
      <w:r w:rsidR="002637A3">
        <w:rPr>
          <w:sz w:val="22"/>
          <w:szCs w:val="22"/>
          <w:lang w:val="es-MX"/>
        </w:rPr>
        <w:t xml:space="preserve"> 31</w:t>
      </w:r>
      <w:r w:rsidR="00054A3C">
        <w:rPr>
          <w:sz w:val="22"/>
          <w:szCs w:val="22"/>
          <w:lang w:val="es-MX"/>
        </w:rPr>
        <w:t xml:space="preserve"> d</w:t>
      </w:r>
      <w:r w:rsidR="004B1D94">
        <w:rPr>
          <w:sz w:val="22"/>
          <w:szCs w:val="22"/>
          <w:lang w:val="es-MX"/>
        </w:rPr>
        <w:t>e</w:t>
      </w:r>
      <w:r w:rsidR="00054A3C">
        <w:rPr>
          <w:sz w:val="22"/>
          <w:szCs w:val="22"/>
          <w:lang w:val="es-MX"/>
        </w:rPr>
        <w:t xml:space="preserve"> 2018</w:t>
      </w:r>
      <w:r w:rsidR="004B1D94">
        <w:rPr>
          <w:sz w:val="22"/>
          <w:szCs w:val="22"/>
          <w:lang w:val="es-MX"/>
        </w:rPr>
        <w:t xml:space="preserve"> </w:t>
      </w:r>
      <w:r w:rsidR="00054A3C">
        <w:rPr>
          <w:sz w:val="22"/>
          <w:szCs w:val="22"/>
          <w:lang w:val="es-MX"/>
        </w:rPr>
        <w:t>la</w:t>
      </w:r>
      <w:r w:rsidR="004B1D94">
        <w:rPr>
          <w:sz w:val="22"/>
          <w:szCs w:val="22"/>
          <w:lang w:val="es-MX"/>
        </w:rPr>
        <w:t xml:space="preserve"> ejecución de </w:t>
      </w:r>
      <w:r w:rsidR="000D39AF">
        <w:rPr>
          <w:sz w:val="22"/>
          <w:szCs w:val="22"/>
          <w:lang w:val="es-MX"/>
        </w:rPr>
        <w:t>PAC</w:t>
      </w:r>
      <w:r w:rsidR="00054A3C">
        <w:rPr>
          <w:sz w:val="22"/>
          <w:szCs w:val="22"/>
          <w:lang w:val="es-MX"/>
        </w:rPr>
        <w:t xml:space="preserve"> es de 9</w:t>
      </w:r>
      <w:r w:rsidR="00BB494A">
        <w:rPr>
          <w:sz w:val="22"/>
          <w:szCs w:val="22"/>
          <w:lang w:val="es-MX"/>
        </w:rPr>
        <w:t>5</w:t>
      </w:r>
      <w:r w:rsidR="00043572">
        <w:rPr>
          <w:sz w:val="22"/>
          <w:szCs w:val="22"/>
          <w:lang w:val="es-MX"/>
        </w:rPr>
        <w:t>%</w:t>
      </w:r>
      <w:r w:rsidR="003737EB">
        <w:rPr>
          <w:sz w:val="22"/>
          <w:szCs w:val="22"/>
          <w:lang w:val="es-MX"/>
        </w:rPr>
        <w:t xml:space="preserve">, de acuerdo con lo </w:t>
      </w:r>
      <w:r w:rsidR="000D39AF">
        <w:rPr>
          <w:sz w:val="22"/>
          <w:szCs w:val="22"/>
          <w:lang w:val="es-MX"/>
        </w:rPr>
        <w:t>pro</w:t>
      </w:r>
      <w:r w:rsidR="00746708">
        <w:rPr>
          <w:sz w:val="22"/>
          <w:szCs w:val="22"/>
          <w:lang w:val="es-MX"/>
        </w:rPr>
        <w:t>gramado.</w:t>
      </w:r>
    </w:p>
    <w:p w:rsidR="00373D6B" w:rsidRDefault="00373D6B" w:rsidP="005F13AD">
      <w:pPr>
        <w:pStyle w:val="CUERPO1"/>
        <w:spacing w:after="0" w:line="276" w:lineRule="auto"/>
        <w:jc w:val="center"/>
        <w:rPr>
          <w:b/>
          <w:szCs w:val="22"/>
          <w:lang w:val="es-MX"/>
        </w:rPr>
      </w:pPr>
    </w:p>
    <w:p w:rsidR="00760C73" w:rsidRDefault="00760C73" w:rsidP="00760C73">
      <w:pPr>
        <w:pStyle w:val="CUERPO1"/>
        <w:numPr>
          <w:ilvl w:val="2"/>
          <w:numId w:val="14"/>
        </w:numPr>
        <w:spacing w:line="276" w:lineRule="auto"/>
        <w:rPr>
          <w:b/>
          <w:sz w:val="22"/>
          <w:szCs w:val="22"/>
          <w:lang w:val="es-MX"/>
        </w:rPr>
      </w:pPr>
      <w:r w:rsidRPr="0004451E">
        <w:rPr>
          <w:b/>
          <w:sz w:val="22"/>
          <w:szCs w:val="22"/>
          <w:lang w:val="es-MX"/>
        </w:rPr>
        <w:t>E</w:t>
      </w:r>
      <w:r>
        <w:rPr>
          <w:b/>
          <w:sz w:val="22"/>
          <w:szCs w:val="22"/>
          <w:lang w:val="es-MX"/>
        </w:rPr>
        <w:t>stados Financieros</w:t>
      </w:r>
    </w:p>
    <w:p w:rsidR="00373D6B" w:rsidRDefault="00373D6B" w:rsidP="00760C73">
      <w:pPr>
        <w:pStyle w:val="CUERPO1"/>
        <w:spacing w:line="276" w:lineRule="auto"/>
        <w:rPr>
          <w:b/>
          <w:sz w:val="22"/>
          <w:szCs w:val="22"/>
          <w:lang w:val="es-MX"/>
        </w:rPr>
      </w:pPr>
    </w:p>
    <w:p w:rsidR="00760C73" w:rsidRDefault="00760C73" w:rsidP="00760C73">
      <w:pPr>
        <w:pStyle w:val="CUERPO1"/>
        <w:spacing w:line="276" w:lineRule="auto"/>
        <w:rPr>
          <w:sz w:val="22"/>
          <w:szCs w:val="22"/>
          <w:lang w:val="es-MX"/>
        </w:rPr>
      </w:pPr>
      <w:r w:rsidRPr="00373D6B">
        <w:rPr>
          <w:b/>
          <w:sz w:val="22"/>
          <w:szCs w:val="22"/>
          <w:lang w:val="es-MX"/>
        </w:rPr>
        <w:t>OBJETIVO DEL INDICADOR:</w:t>
      </w:r>
      <w:r>
        <w:rPr>
          <w:sz w:val="22"/>
          <w:szCs w:val="22"/>
          <w:lang w:val="es-MX"/>
        </w:rPr>
        <w:t xml:space="preserve"> </w:t>
      </w:r>
      <w:r w:rsidRPr="00760C73">
        <w:rPr>
          <w:sz w:val="22"/>
          <w:szCs w:val="22"/>
          <w:lang w:val="es-MX"/>
        </w:rPr>
        <w:t>Reportar información de los estados contables de manera oportuna y confiable</w:t>
      </w:r>
      <w:r>
        <w:rPr>
          <w:sz w:val="22"/>
          <w:szCs w:val="22"/>
          <w:lang w:val="es-MX"/>
        </w:rPr>
        <w:t>.</w:t>
      </w:r>
    </w:p>
    <w:p w:rsidR="00760C73" w:rsidRPr="00760C73" w:rsidRDefault="00760C73" w:rsidP="00760C73">
      <w:pPr>
        <w:pStyle w:val="CUERPO1"/>
        <w:spacing w:line="276" w:lineRule="auto"/>
        <w:rPr>
          <w:sz w:val="22"/>
          <w:szCs w:val="22"/>
          <w:lang w:val="es-MX"/>
        </w:rPr>
      </w:pPr>
      <w:r w:rsidRPr="00373D6B">
        <w:rPr>
          <w:b/>
          <w:sz w:val="22"/>
          <w:szCs w:val="22"/>
          <w:lang w:val="es-MX"/>
        </w:rPr>
        <w:lastRenderedPageBreak/>
        <w:t>FÓRMULA:</w:t>
      </w:r>
      <w:r w:rsidRPr="00760C73">
        <w:rPr>
          <w:sz w:val="22"/>
          <w:szCs w:val="22"/>
          <w:lang w:val="es-MX"/>
        </w:rPr>
        <w:t xml:space="preserve"> </w:t>
      </w:r>
      <m:oMath>
        <m:f>
          <m:fPr>
            <m:ctrlPr>
              <w:rPr>
                <w:rFonts w:ascii="Cambria Math" w:hAnsi="Cambria Math"/>
                <w:i/>
                <w:sz w:val="22"/>
                <w:szCs w:val="22"/>
                <w:lang w:val="es-MX"/>
              </w:rPr>
            </m:ctrlPr>
          </m:fPr>
          <m:num>
            <m:r>
              <w:rPr>
                <w:rFonts w:ascii="Cambria Math" w:hAnsi="Cambria Math"/>
                <w:sz w:val="22"/>
                <w:szCs w:val="22"/>
                <w:lang w:val="es-MX"/>
              </w:rPr>
              <m:t>Estados financieros reportados</m:t>
            </m:r>
          </m:num>
          <m:den>
            <m:r>
              <w:rPr>
                <w:rFonts w:ascii="Cambria Math" w:hAnsi="Cambria Math"/>
                <w:sz w:val="22"/>
                <w:szCs w:val="22"/>
                <w:lang w:val="es-MX"/>
              </w:rPr>
              <m:t>Estados financieros programados</m:t>
            </m:r>
          </m:den>
        </m:f>
      </m:oMath>
    </w:p>
    <w:p w:rsidR="00760C73" w:rsidRPr="00760C73" w:rsidRDefault="00760C73" w:rsidP="00760C73">
      <w:pPr>
        <w:pStyle w:val="CUERPO1"/>
        <w:spacing w:line="276" w:lineRule="auto"/>
        <w:rPr>
          <w:sz w:val="22"/>
          <w:szCs w:val="22"/>
          <w:lang w:val="es-MX"/>
        </w:rPr>
      </w:pPr>
      <w:r w:rsidRPr="00373D6B">
        <w:rPr>
          <w:b/>
          <w:sz w:val="22"/>
          <w:szCs w:val="22"/>
          <w:lang w:val="es-MX"/>
        </w:rPr>
        <w:t>RESULTADO:</w:t>
      </w:r>
      <w:r w:rsidRPr="00760C73">
        <w:rPr>
          <w:sz w:val="22"/>
          <w:szCs w:val="22"/>
          <w:lang w:val="es-MX"/>
        </w:rPr>
        <w:t xml:space="preserve"> </w:t>
      </w:r>
      <w:r w:rsidR="00C73537">
        <w:rPr>
          <w:sz w:val="22"/>
          <w:szCs w:val="22"/>
          <w:lang w:val="es-MX"/>
        </w:rPr>
        <w:t>100</w:t>
      </w:r>
      <w:r w:rsidRPr="00760C73">
        <w:rPr>
          <w:sz w:val="22"/>
          <w:szCs w:val="22"/>
          <w:lang w:val="es-MX"/>
        </w:rPr>
        <w:t>%</w:t>
      </w:r>
    </w:p>
    <w:p w:rsidR="002D1A39" w:rsidRDefault="002D1A39" w:rsidP="00760C73">
      <w:pPr>
        <w:pStyle w:val="CUERPO1"/>
        <w:spacing w:line="276" w:lineRule="auto"/>
        <w:rPr>
          <w:b/>
          <w:sz w:val="22"/>
          <w:szCs w:val="22"/>
          <w:lang w:val="es-MX"/>
        </w:rPr>
      </w:pPr>
    </w:p>
    <w:p w:rsidR="00033C89" w:rsidRDefault="00760C73" w:rsidP="00DC2AED">
      <w:pPr>
        <w:pStyle w:val="CUERPO1"/>
        <w:spacing w:line="276" w:lineRule="auto"/>
        <w:rPr>
          <w:sz w:val="22"/>
          <w:szCs w:val="22"/>
          <w:lang w:val="es-MX"/>
        </w:rPr>
      </w:pPr>
      <w:r w:rsidRPr="00142B8A">
        <w:rPr>
          <w:b/>
          <w:sz w:val="22"/>
          <w:szCs w:val="22"/>
          <w:lang w:val="es-MX"/>
        </w:rPr>
        <w:t>ANÁLISIS</w:t>
      </w:r>
      <w:r w:rsidRPr="00760C73">
        <w:rPr>
          <w:sz w:val="22"/>
          <w:szCs w:val="22"/>
          <w:lang w:val="es-MX"/>
        </w:rPr>
        <w:t>: E</w:t>
      </w:r>
      <w:r w:rsidR="009D4339" w:rsidRPr="00760C73">
        <w:rPr>
          <w:sz w:val="22"/>
          <w:szCs w:val="22"/>
          <w:lang w:val="es-MX"/>
        </w:rPr>
        <w:t>l área de co</w:t>
      </w:r>
      <w:r w:rsidR="00563BEB">
        <w:rPr>
          <w:sz w:val="22"/>
          <w:szCs w:val="22"/>
          <w:lang w:val="es-MX"/>
        </w:rPr>
        <w:t>nta</w:t>
      </w:r>
      <w:r w:rsidR="00A776B7">
        <w:rPr>
          <w:sz w:val="22"/>
          <w:szCs w:val="22"/>
          <w:lang w:val="es-MX"/>
        </w:rPr>
        <w:t xml:space="preserve">bilidad a 31 de </w:t>
      </w:r>
      <w:r w:rsidR="00B301DB">
        <w:rPr>
          <w:sz w:val="22"/>
          <w:szCs w:val="22"/>
          <w:lang w:val="es-MX"/>
        </w:rPr>
        <w:t>diciembre del</w:t>
      </w:r>
      <w:r w:rsidR="009A5ECD">
        <w:rPr>
          <w:sz w:val="22"/>
          <w:szCs w:val="22"/>
          <w:lang w:val="es-MX"/>
        </w:rPr>
        <w:t xml:space="preserve"> 2018</w:t>
      </w:r>
      <w:r w:rsidR="009D4339" w:rsidRPr="00760C73">
        <w:rPr>
          <w:sz w:val="22"/>
          <w:szCs w:val="22"/>
          <w:lang w:val="es-MX"/>
        </w:rPr>
        <w:t xml:space="preserve"> </w:t>
      </w:r>
      <w:r w:rsidR="002A4DE7" w:rsidRPr="00760C73">
        <w:rPr>
          <w:sz w:val="22"/>
          <w:szCs w:val="22"/>
          <w:lang w:val="es-MX"/>
        </w:rPr>
        <w:t>progra</w:t>
      </w:r>
      <w:r w:rsidR="002A4DE7">
        <w:rPr>
          <w:sz w:val="22"/>
          <w:szCs w:val="22"/>
          <w:lang w:val="es-MX"/>
        </w:rPr>
        <w:t>mó</w:t>
      </w:r>
      <w:r w:rsidR="00373D6B">
        <w:rPr>
          <w:sz w:val="22"/>
          <w:szCs w:val="22"/>
          <w:lang w:val="es-MX"/>
        </w:rPr>
        <w:t xml:space="preserve"> </w:t>
      </w:r>
      <w:r w:rsidR="00A776B7">
        <w:rPr>
          <w:color w:val="000000" w:themeColor="text1"/>
          <w:sz w:val="22"/>
          <w:szCs w:val="22"/>
          <w:lang w:val="es-MX"/>
        </w:rPr>
        <w:t>reportar 4</w:t>
      </w:r>
      <w:r w:rsidR="00EA480E">
        <w:rPr>
          <w:color w:val="000000" w:themeColor="text1"/>
          <w:sz w:val="22"/>
          <w:szCs w:val="22"/>
          <w:lang w:val="es-MX"/>
        </w:rPr>
        <w:t xml:space="preserve"> </w:t>
      </w:r>
      <w:r w:rsidR="00373D6B">
        <w:rPr>
          <w:sz w:val="22"/>
          <w:szCs w:val="22"/>
          <w:lang w:val="es-MX"/>
        </w:rPr>
        <w:t>E</w:t>
      </w:r>
      <w:r w:rsidR="009D4339" w:rsidRPr="00760C73">
        <w:rPr>
          <w:sz w:val="22"/>
          <w:szCs w:val="22"/>
          <w:lang w:val="es-MX"/>
        </w:rPr>
        <w:t xml:space="preserve">stados </w:t>
      </w:r>
      <w:r w:rsidR="00373D6B">
        <w:rPr>
          <w:sz w:val="22"/>
          <w:szCs w:val="22"/>
          <w:lang w:val="es-MX"/>
        </w:rPr>
        <w:t>F</w:t>
      </w:r>
      <w:r w:rsidR="009D4339" w:rsidRPr="00760C73">
        <w:rPr>
          <w:sz w:val="22"/>
          <w:szCs w:val="22"/>
          <w:lang w:val="es-MX"/>
        </w:rPr>
        <w:t xml:space="preserve">inancieros, los cuales </w:t>
      </w:r>
      <w:r w:rsidR="00D22E9F">
        <w:rPr>
          <w:sz w:val="22"/>
          <w:szCs w:val="22"/>
          <w:lang w:val="es-MX"/>
        </w:rPr>
        <w:t xml:space="preserve">fueron </w:t>
      </w:r>
      <w:r w:rsidR="009D4339" w:rsidRPr="00760C73">
        <w:rPr>
          <w:sz w:val="22"/>
          <w:szCs w:val="22"/>
          <w:lang w:val="es-MX"/>
        </w:rPr>
        <w:t xml:space="preserve">proyectados para ser presentados </w:t>
      </w:r>
      <w:r w:rsidR="00D22E9F">
        <w:rPr>
          <w:sz w:val="22"/>
          <w:szCs w:val="22"/>
          <w:lang w:val="es-MX"/>
        </w:rPr>
        <w:t>cada</w:t>
      </w:r>
      <w:r w:rsidR="009D4339" w:rsidRPr="00760C73">
        <w:rPr>
          <w:sz w:val="22"/>
          <w:szCs w:val="22"/>
          <w:lang w:val="es-MX"/>
        </w:rPr>
        <w:t xml:space="preserve"> trimestre (ma</w:t>
      </w:r>
      <w:r w:rsidR="00330A45">
        <w:rPr>
          <w:sz w:val="22"/>
          <w:szCs w:val="22"/>
          <w:lang w:val="es-MX"/>
        </w:rPr>
        <w:t>rz</w:t>
      </w:r>
      <w:r w:rsidR="009A5ECD">
        <w:rPr>
          <w:sz w:val="22"/>
          <w:szCs w:val="22"/>
          <w:lang w:val="es-MX"/>
        </w:rPr>
        <w:t>o, junio</w:t>
      </w:r>
      <w:r w:rsidR="00175FC4">
        <w:rPr>
          <w:sz w:val="22"/>
          <w:szCs w:val="22"/>
          <w:lang w:val="es-MX"/>
        </w:rPr>
        <w:t>, septiembre</w:t>
      </w:r>
      <w:r w:rsidR="002637A3">
        <w:rPr>
          <w:sz w:val="22"/>
          <w:szCs w:val="22"/>
          <w:lang w:val="es-MX"/>
        </w:rPr>
        <w:t>, diciembre</w:t>
      </w:r>
      <w:r w:rsidR="00CC64D5">
        <w:rPr>
          <w:sz w:val="22"/>
          <w:szCs w:val="22"/>
          <w:lang w:val="es-MX"/>
        </w:rPr>
        <w:t xml:space="preserve">). </w:t>
      </w:r>
      <w:r w:rsidR="00D22E9F">
        <w:rPr>
          <w:sz w:val="22"/>
          <w:szCs w:val="22"/>
          <w:lang w:val="es-MX"/>
        </w:rPr>
        <w:t>A</w:t>
      </w:r>
      <w:r w:rsidR="00CC64D5">
        <w:rPr>
          <w:sz w:val="22"/>
          <w:szCs w:val="22"/>
          <w:lang w:val="es-MX"/>
        </w:rPr>
        <w:t xml:space="preserve"> </w:t>
      </w:r>
      <w:r w:rsidR="002637A3">
        <w:rPr>
          <w:sz w:val="22"/>
          <w:szCs w:val="22"/>
          <w:lang w:val="es-MX"/>
        </w:rPr>
        <w:t>diciembre 31</w:t>
      </w:r>
      <w:r w:rsidR="00EA480E">
        <w:rPr>
          <w:sz w:val="22"/>
          <w:szCs w:val="22"/>
          <w:lang w:val="es-MX"/>
        </w:rPr>
        <w:t xml:space="preserve"> del</w:t>
      </w:r>
      <w:r w:rsidR="009A5ECD">
        <w:rPr>
          <w:sz w:val="22"/>
          <w:szCs w:val="22"/>
          <w:lang w:val="es-MX"/>
        </w:rPr>
        <w:t xml:space="preserve"> 2018</w:t>
      </w:r>
      <w:r>
        <w:rPr>
          <w:sz w:val="22"/>
          <w:szCs w:val="22"/>
          <w:lang w:val="es-MX"/>
        </w:rPr>
        <w:t xml:space="preserve"> </w:t>
      </w:r>
      <w:r w:rsidR="00175FC4">
        <w:rPr>
          <w:sz w:val="22"/>
          <w:szCs w:val="22"/>
          <w:lang w:val="es-MX"/>
        </w:rPr>
        <w:t>que</w:t>
      </w:r>
      <w:r w:rsidR="002637A3">
        <w:rPr>
          <w:sz w:val="22"/>
          <w:szCs w:val="22"/>
          <w:lang w:val="es-MX"/>
        </w:rPr>
        <w:t xml:space="preserve"> se presentara el 10 de enero del 2019 cumpliríamos con el 100</w:t>
      </w:r>
      <w:r w:rsidR="009A5ECD">
        <w:rPr>
          <w:sz w:val="22"/>
          <w:szCs w:val="22"/>
          <w:lang w:val="es-MX"/>
        </w:rPr>
        <w:t xml:space="preserve"> </w:t>
      </w:r>
      <w:r>
        <w:rPr>
          <w:sz w:val="22"/>
          <w:szCs w:val="22"/>
          <w:lang w:val="es-MX"/>
        </w:rPr>
        <w:t xml:space="preserve">% de la meta. </w:t>
      </w:r>
    </w:p>
    <w:p w:rsidR="00DC2AED" w:rsidRDefault="00DC2AED" w:rsidP="00DC2AED">
      <w:pPr>
        <w:pStyle w:val="CUERPO1"/>
        <w:spacing w:line="276" w:lineRule="auto"/>
        <w:rPr>
          <w:sz w:val="22"/>
          <w:szCs w:val="22"/>
          <w:lang w:val="es-MX"/>
        </w:rPr>
      </w:pPr>
    </w:p>
    <w:p w:rsidR="004021E1" w:rsidRPr="004021E1" w:rsidRDefault="004021E1" w:rsidP="004021E1">
      <w:pPr>
        <w:pStyle w:val="Prrafodelista"/>
        <w:numPr>
          <w:ilvl w:val="1"/>
          <w:numId w:val="29"/>
        </w:numPr>
        <w:spacing w:after="0" w:line="240" w:lineRule="auto"/>
        <w:jc w:val="both"/>
        <w:rPr>
          <w:rFonts w:ascii="Arial" w:hAnsi="Arial" w:cs="Arial"/>
          <w:b/>
          <w:sz w:val="22"/>
          <w:szCs w:val="22"/>
        </w:rPr>
      </w:pPr>
      <w:r w:rsidRPr="004021E1">
        <w:rPr>
          <w:rFonts w:ascii="Arial" w:hAnsi="Arial" w:cs="Arial"/>
          <w:b/>
          <w:sz w:val="22"/>
          <w:szCs w:val="22"/>
        </w:rPr>
        <w:t>Otros resultados</w:t>
      </w:r>
    </w:p>
    <w:p w:rsidR="004021E1" w:rsidRDefault="004021E1" w:rsidP="004021E1">
      <w:pPr>
        <w:pStyle w:val="Prrafodelista"/>
        <w:spacing w:after="0" w:line="240" w:lineRule="auto"/>
        <w:ind w:left="1080"/>
        <w:jc w:val="both"/>
        <w:rPr>
          <w:rFonts w:ascii="Arial" w:hAnsi="Arial" w:cs="Arial"/>
          <w:sz w:val="22"/>
          <w:szCs w:val="22"/>
        </w:rPr>
      </w:pPr>
    </w:p>
    <w:p w:rsidR="004021E1" w:rsidRPr="00CF551F" w:rsidRDefault="004021E1" w:rsidP="004021E1">
      <w:pPr>
        <w:pStyle w:val="Prrafodelista"/>
        <w:numPr>
          <w:ilvl w:val="2"/>
          <w:numId w:val="29"/>
        </w:numPr>
        <w:spacing w:after="0" w:line="240" w:lineRule="auto"/>
        <w:jc w:val="both"/>
        <w:rPr>
          <w:rFonts w:ascii="Arial" w:hAnsi="Arial" w:cs="Arial"/>
          <w:b/>
          <w:sz w:val="22"/>
          <w:szCs w:val="22"/>
        </w:rPr>
      </w:pPr>
      <w:r w:rsidRPr="00CF551F">
        <w:rPr>
          <w:rFonts w:ascii="Arial" w:hAnsi="Arial" w:cs="Arial"/>
          <w:b/>
          <w:sz w:val="22"/>
          <w:szCs w:val="22"/>
        </w:rPr>
        <w:t>Actividades que han contribuido al Cumplimiento del Plan Estratégico y que no han sido contemplados en el Plan de Acción.</w:t>
      </w:r>
    </w:p>
    <w:p w:rsidR="004021E1" w:rsidRPr="00575CA9" w:rsidRDefault="004021E1" w:rsidP="004021E1">
      <w:pPr>
        <w:pStyle w:val="Prrafodelista"/>
        <w:spacing w:after="0" w:line="240" w:lineRule="auto"/>
        <w:ind w:left="1800"/>
        <w:jc w:val="both"/>
        <w:rPr>
          <w:rFonts w:ascii="Arial" w:hAnsi="Arial" w:cs="Arial"/>
          <w:sz w:val="22"/>
          <w:szCs w:val="22"/>
        </w:rPr>
      </w:pPr>
    </w:p>
    <w:p w:rsidR="002804EA" w:rsidRPr="00D53302" w:rsidRDefault="002804EA" w:rsidP="00D53302">
      <w:pPr>
        <w:numPr>
          <w:ilvl w:val="0"/>
          <w:numId w:val="16"/>
        </w:numPr>
        <w:spacing w:line="276" w:lineRule="auto"/>
        <w:jc w:val="both"/>
        <w:rPr>
          <w:rFonts w:ascii="Arial" w:hAnsi="Arial" w:cs="Arial"/>
          <w:sz w:val="22"/>
          <w:szCs w:val="22"/>
        </w:rPr>
      </w:pPr>
      <w:r w:rsidRPr="00D53302">
        <w:rPr>
          <w:rFonts w:ascii="Arial" w:hAnsi="Arial" w:cs="Arial"/>
          <w:sz w:val="22"/>
          <w:szCs w:val="22"/>
        </w:rPr>
        <w:t>De forma oportuna se realizó la proyección de los indicadores financieros y se evaluó sin contratiempo de acuerdo al cronograma de los pliegos de condiciones de los procesos.</w:t>
      </w:r>
    </w:p>
    <w:p w:rsidR="002804EA" w:rsidRPr="00D53302" w:rsidRDefault="002804EA" w:rsidP="00D53302">
      <w:pPr>
        <w:numPr>
          <w:ilvl w:val="0"/>
          <w:numId w:val="16"/>
        </w:numPr>
        <w:spacing w:line="276" w:lineRule="auto"/>
        <w:jc w:val="both"/>
        <w:rPr>
          <w:rFonts w:ascii="Arial" w:hAnsi="Arial" w:cs="Arial"/>
          <w:sz w:val="22"/>
          <w:szCs w:val="22"/>
        </w:rPr>
      </w:pPr>
      <w:r w:rsidRPr="00D53302">
        <w:rPr>
          <w:rFonts w:ascii="Arial" w:hAnsi="Arial" w:cs="Arial"/>
          <w:sz w:val="22"/>
          <w:szCs w:val="22"/>
        </w:rPr>
        <w:t xml:space="preserve">Los movimientos de los rubros del gasto de unidad ejecutora 01 a </w:t>
      </w:r>
      <w:r w:rsidR="002637A3">
        <w:rPr>
          <w:rFonts w:ascii="Arial" w:hAnsi="Arial" w:cs="Arial"/>
          <w:sz w:val="22"/>
          <w:szCs w:val="22"/>
        </w:rPr>
        <w:t>31 de diciembre</w:t>
      </w:r>
      <w:r w:rsidR="009A5ECD">
        <w:rPr>
          <w:rFonts w:ascii="Arial" w:hAnsi="Arial" w:cs="Arial"/>
          <w:sz w:val="22"/>
          <w:szCs w:val="22"/>
        </w:rPr>
        <w:t xml:space="preserve"> de 2018</w:t>
      </w:r>
      <w:r w:rsidRPr="00D53302">
        <w:rPr>
          <w:rFonts w:ascii="Arial" w:hAnsi="Arial" w:cs="Arial"/>
          <w:sz w:val="22"/>
          <w:szCs w:val="22"/>
        </w:rPr>
        <w:t xml:space="preserve"> se encuentran soportados con la expedición de </w:t>
      </w:r>
      <w:r w:rsidR="00711ADC">
        <w:rPr>
          <w:rFonts w:ascii="Arial" w:hAnsi="Arial" w:cs="Arial"/>
          <w:sz w:val="22"/>
          <w:szCs w:val="22"/>
        </w:rPr>
        <w:t>954</w:t>
      </w:r>
      <w:r w:rsidR="00D774CB" w:rsidRPr="00D53302">
        <w:rPr>
          <w:rFonts w:ascii="Arial" w:hAnsi="Arial" w:cs="Arial"/>
          <w:sz w:val="22"/>
          <w:szCs w:val="22"/>
        </w:rPr>
        <w:t xml:space="preserve"> </w:t>
      </w:r>
      <w:r w:rsidRPr="00D53302">
        <w:rPr>
          <w:rFonts w:ascii="Arial" w:hAnsi="Arial" w:cs="Arial"/>
          <w:sz w:val="22"/>
          <w:szCs w:val="22"/>
        </w:rPr>
        <w:t xml:space="preserve">certificados de disponibilidad y de </w:t>
      </w:r>
      <w:r w:rsidR="00711ADC">
        <w:rPr>
          <w:rFonts w:ascii="Arial" w:hAnsi="Arial" w:cs="Arial"/>
          <w:sz w:val="22"/>
          <w:szCs w:val="22"/>
        </w:rPr>
        <w:t xml:space="preserve">817 </w:t>
      </w:r>
      <w:r w:rsidRPr="00D53302">
        <w:rPr>
          <w:rFonts w:ascii="Arial" w:hAnsi="Arial" w:cs="Arial"/>
          <w:sz w:val="22"/>
          <w:szCs w:val="22"/>
        </w:rPr>
        <w:t>registros presupuestales.</w:t>
      </w:r>
    </w:p>
    <w:p w:rsidR="00560303" w:rsidRDefault="00560303">
      <w:pPr>
        <w:spacing w:after="160" w:line="259" w:lineRule="auto"/>
        <w:rPr>
          <w:rFonts w:ascii="Arial" w:hAnsi="Arial" w:cs="Arial"/>
          <w:b/>
          <w:sz w:val="22"/>
          <w:szCs w:val="22"/>
        </w:rPr>
      </w:pPr>
    </w:p>
    <w:p w:rsidR="004021E1" w:rsidRPr="008C3BEF" w:rsidRDefault="004021E1" w:rsidP="004021E1">
      <w:pPr>
        <w:pStyle w:val="Prrafodelista"/>
        <w:numPr>
          <w:ilvl w:val="2"/>
          <w:numId w:val="28"/>
        </w:numPr>
        <w:spacing w:after="0" w:line="240" w:lineRule="auto"/>
        <w:jc w:val="both"/>
        <w:rPr>
          <w:rFonts w:ascii="Arial" w:hAnsi="Arial" w:cs="Arial"/>
          <w:b/>
          <w:sz w:val="22"/>
          <w:szCs w:val="22"/>
        </w:rPr>
      </w:pPr>
      <w:r w:rsidRPr="008C3BEF">
        <w:rPr>
          <w:rFonts w:ascii="Arial" w:hAnsi="Arial" w:cs="Arial"/>
          <w:b/>
          <w:sz w:val="22"/>
          <w:szCs w:val="22"/>
        </w:rPr>
        <w:t>Seguimiento al Nuevo Marco Normativo – NMNC.</w:t>
      </w:r>
    </w:p>
    <w:p w:rsidR="004021E1" w:rsidRDefault="004021E1">
      <w:pPr>
        <w:spacing w:after="160" w:line="259" w:lineRule="auto"/>
        <w:rPr>
          <w:rFonts w:ascii="Arial" w:hAnsi="Arial" w:cs="Arial"/>
          <w:b/>
          <w:sz w:val="22"/>
          <w:szCs w:val="22"/>
        </w:rPr>
      </w:pPr>
    </w:p>
    <w:p w:rsidR="009616D3" w:rsidRDefault="000342C0" w:rsidP="000342C0">
      <w:pPr>
        <w:spacing w:line="276" w:lineRule="auto"/>
        <w:jc w:val="both"/>
        <w:rPr>
          <w:rFonts w:ascii="Arial" w:hAnsi="Arial" w:cs="Arial"/>
          <w:sz w:val="22"/>
          <w:szCs w:val="22"/>
        </w:rPr>
      </w:pPr>
      <w:r w:rsidRPr="000342C0">
        <w:rPr>
          <w:rFonts w:ascii="Arial" w:hAnsi="Arial" w:cs="Arial"/>
          <w:sz w:val="22"/>
          <w:szCs w:val="22"/>
        </w:rPr>
        <w:t>En cumplimiento a la normatividad establecida por el gobierno nacional relacionadas con el Nuevo Marco Normativo de acuerdo a la Resolución No.533 del 2015 y No. 693 del 2016 de la CGN</w:t>
      </w:r>
      <w:r>
        <w:rPr>
          <w:rFonts w:ascii="Arial" w:hAnsi="Arial" w:cs="Arial"/>
          <w:sz w:val="22"/>
          <w:szCs w:val="22"/>
        </w:rPr>
        <w:t>, en la vigencia 2018 se desarrolló y ejecuto el cronograma de actividades que permitió la estabilización del sistema, su revisión y ajuste a la parametrización del módulo P</w:t>
      </w:r>
      <w:r w:rsidR="00E85443">
        <w:rPr>
          <w:rFonts w:ascii="Arial" w:hAnsi="Arial" w:cs="Arial"/>
          <w:sz w:val="22"/>
          <w:szCs w:val="22"/>
        </w:rPr>
        <w:t>erno</w:t>
      </w:r>
      <w:r>
        <w:rPr>
          <w:rFonts w:ascii="Arial" w:hAnsi="Arial" w:cs="Arial"/>
          <w:sz w:val="22"/>
          <w:szCs w:val="22"/>
        </w:rPr>
        <w:t xml:space="preserve"> y</w:t>
      </w:r>
      <w:r w:rsidR="00B301DB">
        <w:rPr>
          <w:rFonts w:ascii="Arial" w:hAnsi="Arial" w:cs="Arial"/>
          <w:sz w:val="22"/>
          <w:szCs w:val="22"/>
        </w:rPr>
        <w:t xml:space="preserve"> </w:t>
      </w:r>
      <w:r w:rsidR="00E85443">
        <w:rPr>
          <w:rFonts w:ascii="Arial" w:hAnsi="Arial" w:cs="Arial"/>
          <w:sz w:val="22"/>
          <w:szCs w:val="22"/>
        </w:rPr>
        <w:t>SAE-SAI</w:t>
      </w:r>
      <w:r>
        <w:rPr>
          <w:rFonts w:ascii="Arial" w:hAnsi="Arial" w:cs="Arial"/>
          <w:sz w:val="22"/>
          <w:szCs w:val="22"/>
        </w:rPr>
        <w:t>.</w:t>
      </w:r>
    </w:p>
    <w:p w:rsidR="00E85443" w:rsidRDefault="00E85443" w:rsidP="000342C0">
      <w:pPr>
        <w:spacing w:line="276" w:lineRule="auto"/>
        <w:jc w:val="both"/>
        <w:rPr>
          <w:rFonts w:ascii="Arial" w:hAnsi="Arial" w:cs="Arial"/>
          <w:sz w:val="22"/>
          <w:szCs w:val="22"/>
        </w:rPr>
      </w:pPr>
      <w:r>
        <w:rPr>
          <w:rFonts w:ascii="Arial" w:hAnsi="Arial" w:cs="Arial"/>
          <w:sz w:val="22"/>
          <w:szCs w:val="22"/>
        </w:rPr>
        <w:t>Con el fin de garantizar la información de acuerdo a la estructura del NMNC se verificaron los saldos de los módulos PERNO Y SAE-SAI con los datos registrados en los estados financieros de la entidad hasta el mes de noviembre teniendo en cuenta que estamos en el proceso de cierre del año 2018 que se cumplirá el 17 de enero del presente año</w:t>
      </w:r>
    </w:p>
    <w:p w:rsidR="000342C0" w:rsidRDefault="000342C0" w:rsidP="000342C0">
      <w:pPr>
        <w:spacing w:line="276" w:lineRule="auto"/>
        <w:jc w:val="both"/>
        <w:rPr>
          <w:rFonts w:ascii="Arial" w:hAnsi="Arial" w:cs="Arial"/>
          <w:sz w:val="22"/>
          <w:szCs w:val="22"/>
        </w:rPr>
      </w:pPr>
      <w:r>
        <w:rPr>
          <w:rFonts w:ascii="Arial" w:hAnsi="Arial" w:cs="Arial"/>
          <w:sz w:val="22"/>
          <w:szCs w:val="22"/>
        </w:rPr>
        <w:t>El avance</w:t>
      </w:r>
      <w:r w:rsidR="00746708">
        <w:rPr>
          <w:rFonts w:ascii="Arial" w:hAnsi="Arial" w:cs="Arial"/>
          <w:sz w:val="22"/>
          <w:szCs w:val="22"/>
        </w:rPr>
        <w:t xml:space="preserve"> en la ejecución y desarrollo de las actividades del cronograma al 31 de diciembre fue del 99.32%, es importante aclarar que el porcentaje restante corresponde a las actividades que solamente se podrán comprobar en el cierre del mes de enero por su naturaleza contable; estas act</w:t>
      </w:r>
      <w:r w:rsidR="00B301DB">
        <w:rPr>
          <w:rFonts w:ascii="Arial" w:hAnsi="Arial" w:cs="Arial"/>
          <w:sz w:val="22"/>
          <w:szCs w:val="22"/>
        </w:rPr>
        <w:t>ividades tiene que ver con las Notas C</w:t>
      </w:r>
      <w:r w:rsidR="00746708">
        <w:rPr>
          <w:rFonts w:ascii="Arial" w:hAnsi="Arial" w:cs="Arial"/>
          <w:sz w:val="22"/>
          <w:szCs w:val="22"/>
        </w:rPr>
        <w:t>ontables que deben realizar cada área</w:t>
      </w:r>
      <w:r w:rsidR="00B301DB">
        <w:rPr>
          <w:rFonts w:ascii="Arial" w:hAnsi="Arial" w:cs="Arial"/>
          <w:sz w:val="22"/>
          <w:szCs w:val="22"/>
        </w:rPr>
        <w:t xml:space="preserve">, </w:t>
      </w:r>
      <w:r w:rsidR="00746708">
        <w:rPr>
          <w:rFonts w:ascii="Arial" w:hAnsi="Arial" w:cs="Arial"/>
          <w:sz w:val="22"/>
          <w:szCs w:val="22"/>
        </w:rPr>
        <w:t xml:space="preserve">Reconocimiento por </w:t>
      </w:r>
      <w:r w:rsidR="00B301DB">
        <w:rPr>
          <w:rFonts w:ascii="Arial" w:hAnsi="Arial" w:cs="Arial"/>
          <w:sz w:val="22"/>
          <w:szCs w:val="22"/>
        </w:rPr>
        <w:t>Permanecía y los temas de deterioro de bienes.</w:t>
      </w:r>
    </w:p>
    <w:p w:rsidR="004021E1" w:rsidRDefault="004021E1" w:rsidP="000342C0">
      <w:pPr>
        <w:spacing w:line="276" w:lineRule="auto"/>
        <w:jc w:val="both"/>
        <w:rPr>
          <w:rFonts w:ascii="Arial" w:hAnsi="Arial" w:cs="Arial"/>
          <w:sz w:val="22"/>
          <w:szCs w:val="22"/>
        </w:rPr>
      </w:pPr>
      <w:r>
        <w:rPr>
          <w:rFonts w:ascii="Arial" w:hAnsi="Arial" w:cs="Arial"/>
          <w:sz w:val="22"/>
          <w:szCs w:val="22"/>
        </w:rPr>
        <w:lastRenderedPageBreak/>
        <w:t>La siguiente grafica muestra el porcentaje de avance por modulo:</w:t>
      </w:r>
    </w:p>
    <w:p w:rsidR="00B301DB" w:rsidRDefault="00B301DB" w:rsidP="000342C0">
      <w:pPr>
        <w:spacing w:line="276" w:lineRule="auto"/>
        <w:jc w:val="both"/>
        <w:rPr>
          <w:rFonts w:ascii="Arial" w:hAnsi="Arial" w:cs="Arial"/>
          <w:sz w:val="22"/>
          <w:szCs w:val="22"/>
        </w:rPr>
      </w:pPr>
    </w:p>
    <w:p w:rsidR="00D8346F" w:rsidRPr="00EE2B7D" w:rsidRDefault="00D8346F" w:rsidP="00D8346F">
      <w:pPr>
        <w:jc w:val="both"/>
        <w:rPr>
          <w:rFonts w:ascii="Arial" w:hAnsi="Arial" w:cs="Arial"/>
          <w:sz w:val="24"/>
          <w:szCs w:val="24"/>
        </w:rPr>
      </w:pPr>
    </w:p>
    <w:p w:rsidR="00D8346F" w:rsidRPr="00EE2B7D" w:rsidRDefault="002D718F" w:rsidP="000342C0">
      <w:pPr>
        <w:jc w:val="center"/>
        <w:rPr>
          <w:rFonts w:ascii="Arial" w:hAnsi="Arial" w:cs="Arial"/>
          <w:sz w:val="24"/>
          <w:szCs w:val="24"/>
        </w:rPr>
      </w:pPr>
      <w:r>
        <w:rPr>
          <w:noProof/>
        </w:rPr>
        <w:drawing>
          <wp:inline distT="0" distB="0" distL="0" distR="0" wp14:anchorId="721A2758" wp14:editId="0C5C0EBC">
            <wp:extent cx="4724400" cy="27813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42C0" w:rsidRDefault="000342C0" w:rsidP="00D8346F">
      <w:pPr>
        <w:jc w:val="both"/>
        <w:rPr>
          <w:rFonts w:ascii="Arial" w:hAnsi="Arial" w:cs="Arial"/>
          <w:color w:val="454545"/>
          <w:sz w:val="24"/>
          <w:szCs w:val="24"/>
          <w:shd w:val="clear" w:color="auto" w:fill="FFFFFF"/>
        </w:rPr>
      </w:pPr>
    </w:p>
    <w:p w:rsidR="00F237C3" w:rsidRPr="00F237C3" w:rsidRDefault="00F237C3" w:rsidP="00400349">
      <w:pPr>
        <w:jc w:val="both"/>
        <w:rPr>
          <w:rFonts w:ascii="Arial" w:hAnsi="Arial" w:cs="Arial"/>
          <w:b/>
          <w:sz w:val="22"/>
          <w:szCs w:val="22"/>
        </w:rPr>
      </w:pPr>
    </w:p>
    <w:p w:rsidR="00F815FF" w:rsidRPr="007C4B31" w:rsidRDefault="00F815FF" w:rsidP="00F815FF">
      <w:pPr>
        <w:spacing w:line="276" w:lineRule="auto"/>
        <w:contextualSpacing/>
        <w:jc w:val="both"/>
        <w:rPr>
          <w:rFonts w:ascii="Arial" w:hAnsi="Arial" w:cs="Arial"/>
          <w:b/>
          <w:sz w:val="22"/>
          <w:szCs w:val="22"/>
        </w:rPr>
      </w:pPr>
      <w:r w:rsidRPr="007C4B31">
        <w:rPr>
          <w:rFonts w:ascii="Arial" w:hAnsi="Arial" w:cs="Arial"/>
          <w:b/>
          <w:sz w:val="22"/>
          <w:szCs w:val="22"/>
        </w:rPr>
        <w:t>CARLOS EDUARDO MALDONADO GRANADOS</w:t>
      </w:r>
    </w:p>
    <w:p w:rsidR="00033C89" w:rsidRPr="007C4B31" w:rsidRDefault="007C4B31" w:rsidP="007C4B31">
      <w:pPr>
        <w:tabs>
          <w:tab w:val="left" w:pos="720"/>
        </w:tabs>
        <w:contextualSpacing/>
        <w:rPr>
          <w:rFonts w:ascii="Arial" w:hAnsi="Arial" w:cs="Arial"/>
          <w:b/>
          <w:sz w:val="22"/>
          <w:szCs w:val="22"/>
        </w:rPr>
      </w:pPr>
      <w:r w:rsidRPr="007C4B31">
        <w:rPr>
          <w:rFonts w:ascii="Arial" w:hAnsi="Arial" w:cs="Arial"/>
          <w:b/>
          <w:sz w:val="22"/>
          <w:szCs w:val="22"/>
        </w:rPr>
        <w:t>R</w:t>
      </w:r>
      <w:r w:rsidR="005B4D69" w:rsidRPr="007C4B31">
        <w:rPr>
          <w:rFonts w:ascii="Arial" w:hAnsi="Arial" w:cs="Arial"/>
          <w:b/>
          <w:sz w:val="22"/>
          <w:szCs w:val="22"/>
        </w:rPr>
        <w:t>esponsable de Proceso</w:t>
      </w:r>
    </w:p>
    <w:p w:rsidR="007C4B31" w:rsidRPr="007C4B31" w:rsidRDefault="007C4B31" w:rsidP="007C4B31">
      <w:pPr>
        <w:tabs>
          <w:tab w:val="left" w:pos="720"/>
        </w:tabs>
        <w:rPr>
          <w:rFonts w:ascii="Arial" w:hAnsi="Arial" w:cs="Arial"/>
          <w:b/>
          <w:sz w:val="22"/>
          <w:szCs w:val="22"/>
        </w:rPr>
      </w:pPr>
    </w:p>
    <w:p w:rsidR="007C4B31" w:rsidRPr="007C4B31" w:rsidRDefault="007C4B31" w:rsidP="007C4B31">
      <w:pPr>
        <w:tabs>
          <w:tab w:val="left" w:pos="720"/>
        </w:tabs>
        <w:rPr>
          <w:rFonts w:ascii="Arial" w:hAnsi="Arial" w:cs="Arial"/>
          <w:b/>
          <w:sz w:val="22"/>
          <w:szCs w:val="22"/>
        </w:rPr>
      </w:pPr>
    </w:p>
    <w:p w:rsidR="004F7CCD" w:rsidRDefault="005B4D69" w:rsidP="00142B8A">
      <w:pPr>
        <w:rPr>
          <w:rFonts w:ascii="Arial" w:hAnsi="Arial" w:cs="Arial"/>
          <w:sz w:val="16"/>
          <w:szCs w:val="16"/>
        </w:rPr>
      </w:pPr>
      <w:r w:rsidRPr="00181F2C">
        <w:rPr>
          <w:rFonts w:ascii="Arial" w:hAnsi="Arial" w:cs="Arial"/>
          <w:sz w:val="16"/>
          <w:szCs w:val="16"/>
        </w:rPr>
        <w:t xml:space="preserve">Elaboró y proyectó: </w:t>
      </w:r>
      <w:r w:rsidR="00896C10">
        <w:rPr>
          <w:rFonts w:ascii="Arial" w:hAnsi="Arial" w:cs="Arial"/>
          <w:sz w:val="16"/>
          <w:szCs w:val="16"/>
        </w:rPr>
        <w:t>Carlos Eduardo Maldonado Granados</w:t>
      </w:r>
      <w:r w:rsidRPr="00181F2C">
        <w:rPr>
          <w:rFonts w:ascii="Arial" w:hAnsi="Arial" w:cs="Arial"/>
          <w:sz w:val="16"/>
          <w:szCs w:val="16"/>
        </w:rPr>
        <w:t xml:space="preserve">– </w:t>
      </w:r>
      <w:r w:rsidR="00033C89">
        <w:rPr>
          <w:rFonts w:ascii="Arial" w:hAnsi="Arial" w:cs="Arial"/>
          <w:sz w:val="16"/>
          <w:szCs w:val="16"/>
        </w:rPr>
        <w:t>Subdirector Financiero</w:t>
      </w:r>
      <w:r w:rsidRPr="00181F2C">
        <w:rPr>
          <w:rFonts w:ascii="Arial" w:hAnsi="Arial" w:cs="Arial"/>
          <w:sz w:val="16"/>
          <w:szCs w:val="16"/>
        </w:rPr>
        <w:t>.</w:t>
      </w:r>
    </w:p>
    <w:p w:rsidR="000770B3" w:rsidRPr="004F7CCD" w:rsidRDefault="000770B3" w:rsidP="000822EB">
      <w:pPr>
        <w:tabs>
          <w:tab w:val="left" w:pos="720"/>
        </w:tabs>
        <w:rPr>
          <w:rFonts w:ascii="Arial" w:hAnsi="Arial" w:cs="Arial"/>
          <w:color w:val="333333"/>
          <w:sz w:val="22"/>
          <w:szCs w:val="22"/>
          <w:shd w:val="clear" w:color="auto" w:fill="FFFFFF"/>
        </w:rPr>
      </w:pPr>
      <w:r w:rsidRPr="00181F2C">
        <w:rPr>
          <w:rFonts w:ascii="Arial" w:hAnsi="Arial" w:cs="Arial"/>
          <w:sz w:val="16"/>
          <w:szCs w:val="16"/>
        </w:rPr>
        <w:t xml:space="preserve">Fecha de elaboración: </w:t>
      </w:r>
      <w:r w:rsidR="00043572">
        <w:rPr>
          <w:rFonts w:ascii="Arial" w:hAnsi="Arial" w:cs="Arial"/>
          <w:sz w:val="16"/>
          <w:szCs w:val="16"/>
        </w:rPr>
        <w:t>enero 04</w:t>
      </w:r>
      <w:r w:rsidR="00B87B17">
        <w:rPr>
          <w:rFonts w:ascii="Arial" w:hAnsi="Arial" w:cs="Arial"/>
          <w:sz w:val="16"/>
          <w:szCs w:val="16"/>
        </w:rPr>
        <w:t xml:space="preserve"> del </w:t>
      </w:r>
      <w:r w:rsidR="002637A3">
        <w:rPr>
          <w:rFonts w:ascii="Arial" w:hAnsi="Arial" w:cs="Arial"/>
          <w:sz w:val="16"/>
          <w:szCs w:val="16"/>
        </w:rPr>
        <w:t>2019</w:t>
      </w:r>
    </w:p>
    <w:sectPr w:rsidR="000770B3" w:rsidRPr="004F7CCD" w:rsidSect="00D9431D">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AC" w:rsidRDefault="002860AC" w:rsidP="00E521E7">
      <w:pPr>
        <w:spacing w:after="0" w:line="240" w:lineRule="auto"/>
      </w:pPr>
      <w:r>
        <w:separator/>
      </w:r>
    </w:p>
  </w:endnote>
  <w:endnote w:type="continuationSeparator" w:id="0">
    <w:p w:rsidR="002860AC" w:rsidRDefault="002860AC" w:rsidP="00E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430688"/>
      <w:docPartObj>
        <w:docPartGallery w:val="Page Numbers (Bottom of Page)"/>
        <w:docPartUnique/>
      </w:docPartObj>
    </w:sdtPr>
    <w:sdtEndPr/>
    <w:sdtContent>
      <w:p w:rsidR="00172BE2" w:rsidRDefault="00172BE2">
        <w:pPr>
          <w:pStyle w:val="Piedepgina"/>
          <w:jc w:val="right"/>
        </w:pPr>
        <w:r>
          <w:fldChar w:fldCharType="begin"/>
        </w:r>
        <w:r>
          <w:instrText>PAGE   \* MERGEFORMAT</w:instrText>
        </w:r>
        <w:r>
          <w:fldChar w:fldCharType="separate"/>
        </w:r>
        <w:r w:rsidR="00043572" w:rsidRPr="00043572">
          <w:rPr>
            <w:noProof/>
            <w:lang w:val="es-ES"/>
          </w:rPr>
          <w:t>10</w:t>
        </w:r>
        <w:r>
          <w:fldChar w:fldCharType="end"/>
        </w:r>
      </w:p>
    </w:sdtContent>
  </w:sdt>
  <w:p w:rsidR="00172BE2" w:rsidRDefault="00172B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AC" w:rsidRDefault="002860AC" w:rsidP="00E521E7">
      <w:pPr>
        <w:spacing w:after="0" w:line="240" w:lineRule="auto"/>
      </w:pPr>
      <w:r>
        <w:separator/>
      </w:r>
    </w:p>
  </w:footnote>
  <w:footnote w:type="continuationSeparator" w:id="0">
    <w:p w:rsidR="002860AC" w:rsidRDefault="002860AC" w:rsidP="00E5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BE2" w:rsidRDefault="000342C0" w:rsidP="00E521E7">
    <w:pPr>
      <w:pStyle w:val="Encabezado"/>
      <w:ind w:firstLine="3540"/>
    </w:pPr>
    <w:r>
      <w:t xml:space="preserve"> </w:t>
    </w:r>
    <w:r w:rsidR="00172BE2">
      <w:rPr>
        <w:noProof/>
      </w:rPr>
      <w:drawing>
        <wp:inline distT="0" distB="0" distL="0" distR="0" wp14:anchorId="175A6CEB" wp14:editId="031124AE">
          <wp:extent cx="1104265" cy="712470"/>
          <wp:effectExtent l="0" t="0" r="635" b="0"/>
          <wp:docPr id="1" name="Imagen 1"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12470"/>
                  </a:xfrm>
                  <a:prstGeom prst="rect">
                    <a:avLst/>
                  </a:prstGeom>
                  <a:noFill/>
                  <a:ln>
                    <a:noFill/>
                  </a:ln>
                </pic:spPr>
              </pic:pic>
            </a:graphicData>
          </a:graphic>
        </wp:inline>
      </w:drawing>
    </w:r>
  </w:p>
  <w:p w:rsidR="00172BE2" w:rsidRDefault="00172BE2" w:rsidP="00E521E7">
    <w:pPr>
      <w:pStyle w:val="Encabezado"/>
      <w:ind w:left="708" w:firstLine="1800"/>
      <w:rPr>
        <w:i/>
      </w:rPr>
    </w:pPr>
  </w:p>
  <w:p w:rsidR="00172BE2" w:rsidRPr="00F85EEF" w:rsidRDefault="00F85EEF" w:rsidP="00F85EEF">
    <w:pPr>
      <w:pStyle w:val="Encabezado"/>
      <w:spacing w:line="480" w:lineRule="auto"/>
      <w:rPr>
        <w:i/>
        <w:u w:val="single"/>
      </w:rPr>
    </w:pPr>
    <w:r>
      <w:rPr>
        <w:u w:val="single"/>
      </w:rPr>
      <w:t>____________________________</w:t>
    </w:r>
    <w:r>
      <w:rPr>
        <w:i/>
        <w:u w:val="single"/>
      </w:rPr>
      <w:t>”Una Contraloría aliada con Bogotá”_____________________________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A37"/>
    <w:multiLevelType w:val="multilevel"/>
    <w:tmpl w:val="E452B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69720F"/>
    <w:multiLevelType w:val="multilevel"/>
    <w:tmpl w:val="E326D4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842A3"/>
    <w:multiLevelType w:val="multilevel"/>
    <w:tmpl w:val="6CEE88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A357A"/>
    <w:multiLevelType w:val="multilevel"/>
    <w:tmpl w:val="D1A66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CA5B33"/>
    <w:multiLevelType w:val="hybridMultilevel"/>
    <w:tmpl w:val="5142ADC4"/>
    <w:lvl w:ilvl="0" w:tplc="E4FEA5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556BB9"/>
    <w:multiLevelType w:val="hybridMultilevel"/>
    <w:tmpl w:val="C9B84372"/>
    <w:lvl w:ilvl="0" w:tplc="383473CC">
      <w:start w:val="2"/>
      <w:numFmt w:val="bullet"/>
      <w:lvlText w:val=""/>
      <w:lvlJc w:val="left"/>
      <w:pPr>
        <w:ind w:left="720" w:hanging="360"/>
      </w:pPr>
      <w:rPr>
        <w:rFonts w:ascii="Symbol" w:eastAsia="Times New Roman"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1F4A5B"/>
    <w:multiLevelType w:val="multilevel"/>
    <w:tmpl w:val="97BA297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E3913"/>
    <w:multiLevelType w:val="hybridMultilevel"/>
    <w:tmpl w:val="9B9C1B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2C7BB0"/>
    <w:multiLevelType w:val="hybridMultilevel"/>
    <w:tmpl w:val="BCDCDF4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57D5DBD"/>
    <w:multiLevelType w:val="hybridMultilevel"/>
    <w:tmpl w:val="3A7E462E"/>
    <w:lvl w:ilvl="0" w:tplc="80BE5F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A4F4921"/>
    <w:multiLevelType w:val="hybridMultilevel"/>
    <w:tmpl w:val="3F7CFDE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5720AE"/>
    <w:multiLevelType w:val="hybridMultilevel"/>
    <w:tmpl w:val="F79E1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031265"/>
    <w:multiLevelType w:val="hybridMultilevel"/>
    <w:tmpl w:val="9F561FB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5B2AEB"/>
    <w:multiLevelType w:val="hybridMultilevel"/>
    <w:tmpl w:val="38FEEE38"/>
    <w:lvl w:ilvl="0" w:tplc="DC22C7F4">
      <w:start w:val="1"/>
      <w:numFmt w:val="decimal"/>
      <w:lvlText w:val="%1."/>
      <w:lvlJc w:val="left"/>
      <w:pPr>
        <w:tabs>
          <w:tab w:val="num" w:pos="720"/>
        </w:tabs>
        <w:ind w:left="720" w:hanging="360"/>
      </w:pPr>
      <w:rPr>
        <w:rFonts w:hint="default"/>
        <w:b/>
        <w:i/>
      </w:rPr>
    </w:lvl>
    <w:lvl w:ilvl="1" w:tplc="0C0A0001">
      <w:start w:val="1"/>
      <w:numFmt w:val="bullet"/>
      <w:lvlText w:val=""/>
      <w:lvlJc w:val="left"/>
      <w:pPr>
        <w:tabs>
          <w:tab w:val="num" w:pos="1440"/>
        </w:tabs>
        <w:ind w:left="1440" w:hanging="360"/>
      </w:pPr>
      <w:rPr>
        <w:rFonts w:ascii="Symbol" w:hAnsi="Symbol" w:hint="default"/>
        <w:b/>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8158F6"/>
    <w:multiLevelType w:val="hybridMultilevel"/>
    <w:tmpl w:val="C80AB7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6E1866"/>
    <w:multiLevelType w:val="multilevel"/>
    <w:tmpl w:val="E452B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D7577BF"/>
    <w:multiLevelType w:val="hybridMultilevel"/>
    <w:tmpl w:val="4EBE37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9E409B"/>
    <w:multiLevelType w:val="multilevel"/>
    <w:tmpl w:val="840085D4"/>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5FC265E"/>
    <w:multiLevelType w:val="hybridMultilevel"/>
    <w:tmpl w:val="43A8E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41D32"/>
    <w:multiLevelType w:val="hybridMultilevel"/>
    <w:tmpl w:val="F5C644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B7244F"/>
    <w:multiLevelType w:val="multilevel"/>
    <w:tmpl w:val="821600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EA734E4"/>
    <w:multiLevelType w:val="hybridMultilevel"/>
    <w:tmpl w:val="763A1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A6353C7"/>
    <w:multiLevelType w:val="multilevel"/>
    <w:tmpl w:val="B50AD412"/>
    <w:lvl w:ilvl="0">
      <w:start w:val="1"/>
      <w:numFmt w:val="decimal"/>
      <w:pStyle w:val="titulo1"/>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AF07279"/>
    <w:multiLevelType w:val="hybridMultilevel"/>
    <w:tmpl w:val="D554A5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CF31D83"/>
    <w:multiLevelType w:val="hybridMultilevel"/>
    <w:tmpl w:val="DDFC9A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1520DA"/>
    <w:multiLevelType w:val="multilevel"/>
    <w:tmpl w:val="D1A667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29E1010"/>
    <w:multiLevelType w:val="hybridMultilevel"/>
    <w:tmpl w:val="C2388C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D692054"/>
    <w:multiLevelType w:val="hybridMultilevel"/>
    <w:tmpl w:val="C53C4B2C"/>
    <w:lvl w:ilvl="0" w:tplc="B09E50D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3043F98"/>
    <w:multiLevelType w:val="multilevel"/>
    <w:tmpl w:val="E452B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E1416B9"/>
    <w:multiLevelType w:val="multilevel"/>
    <w:tmpl w:val="DB86539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0"/>
  </w:num>
  <w:num w:numId="2">
    <w:abstractNumId w:val="27"/>
  </w:num>
  <w:num w:numId="3">
    <w:abstractNumId w:val="16"/>
  </w:num>
  <w:num w:numId="4">
    <w:abstractNumId w:val="4"/>
  </w:num>
  <w:num w:numId="5">
    <w:abstractNumId w:val="5"/>
  </w:num>
  <w:num w:numId="6">
    <w:abstractNumId w:val="8"/>
  </w:num>
  <w:num w:numId="7">
    <w:abstractNumId w:val="12"/>
  </w:num>
  <w:num w:numId="8">
    <w:abstractNumId w:val="22"/>
  </w:num>
  <w:num w:numId="9">
    <w:abstractNumId w:val="15"/>
  </w:num>
  <w:num w:numId="10">
    <w:abstractNumId w:val="9"/>
  </w:num>
  <w:num w:numId="11">
    <w:abstractNumId w:val="13"/>
  </w:num>
  <w:num w:numId="12">
    <w:abstractNumId w:val="25"/>
  </w:num>
  <w:num w:numId="13">
    <w:abstractNumId w:val="11"/>
  </w:num>
  <w:num w:numId="14">
    <w:abstractNumId w:val="6"/>
  </w:num>
  <w:num w:numId="15">
    <w:abstractNumId w:val="3"/>
  </w:num>
  <w:num w:numId="16">
    <w:abstractNumId w:val="26"/>
  </w:num>
  <w:num w:numId="17">
    <w:abstractNumId w:val="18"/>
  </w:num>
  <w:num w:numId="18">
    <w:abstractNumId w:val="21"/>
  </w:num>
  <w:num w:numId="19">
    <w:abstractNumId w:val="23"/>
  </w:num>
  <w:num w:numId="20">
    <w:abstractNumId w:val="24"/>
  </w:num>
  <w:num w:numId="21">
    <w:abstractNumId w:val="2"/>
  </w:num>
  <w:num w:numId="22">
    <w:abstractNumId w:val="19"/>
  </w:num>
  <w:num w:numId="23">
    <w:abstractNumId w:val="10"/>
  </w:num>
  <w:num w:numId="24">
    <w:abstractNumId w:val="7"/>
  </w:num>
  <w:num w:numId="25">
    <w:abstractNumId w:val="14"/>
  </w:num>
  <w:num w:numId="26">
    <w:abstractNumId w:val="0"/>
  </w:num>
  <w:num w:numId="27">
    <w:abstractNumId w:val="28"/>
  </w:num>
  <w:num w:numId="28">
    <w:abstractNumId w:val="17"/>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E7"/>
    <w:rsid w:val="000006E5"/>
    <w:rsid w:val="00000B20"/>
    <w:rsid w:val="000028EF"/>
    <w:rsid w:val="000047F0"/>
    <w:rsid w:val="0000618D"/>
    <w:rsid w:val="00010B12"/>
    <w:rsid w:val="00014AC4"/>
    <w:rsid w:val="00014EE5"/>
    <w:rsid w:val="0001793A"/>
    <w:rsid w:val="0002051C"/>
    <w:rsid w:val="00020ABB"/>
    <w:rsid w:val="00024173"/>
    <w:rsid w:val="00027636"/>
    <w:rsid w:val="000306F1"/>
    <w:rsid w:val="00033C89"/>
    <w:rsid w:val="000342C0"/>
    <w:rsid w:val="0003514A"/>
    <w:rsid w:val="0003568D"/>
    <w:rsid w:val="00042D92"/>
    <w:rsid w:val="00043572"/>
    <w:rsid w:val="00043CC6"/>
    <w:rsid w:val="0004451E"/>
    <w:rsid w:val="00044EA1"/>
    <w:rsid w:val="000460BB"/>
    <w:rsid w:val="000512A6"/>
    <w:rsid w:val="00054655"/>
    <w:rsid w:val="00054A3C"/>
    <w:rsid w:val="00061448"/>
    <w:rsid w:val="00063524"/>
    <w:rsid w:val="00063AAA"/>
    <w:rsid w:val="00067F37"/>
    <w:rsid w:val="00073A8F"/>
    <w:rsid w:val="00073EAC"/>
    <w:rsid w:val="00074177"/>
    <w:rsid w:val="000770B3"/>
    <w:rsid w:val="000822EB"/>
    <w:rsid w:val="00083FF1"/>
    <w:rsid w:val="000845DA"/>
    <w:rsid w:val="00085B5D"/>
    <w:rsid w:val="00085D60"/>
    <w:rsid w:val="000A0012"/>
    <w:rsid w:val="000A1932"/>
    <w:rsid w:val="000A41AF"/>
    <w:rsid w:val="000B01EF"/>
    <w:rsid w:val="000B55F9"/>
    <w:rsid w:val="000B5F29"/>
    <w:rsid w:val="000B69F6"/>
    <w:rsid w:val="000C631B"/>
    <w:rsid w:val="000D0342"/>
    <w:rsid w:val="000D0A44"/>
    <w:rsid w:val="000D0F4A"/>
    <w:rsid w:val="000D39AF"/>
    <w:rsid w:val="000E4714"/>
    <w:rsid w:val="00100E46"/>
    <w:rsid w:val="00101A52"/>
    <w:rsid w:val="00104946"/>
    <w:rsid w:val="00111DBD"/>
    <w:rsid w:val="0011630B"/>
    <w:rsid w:val="0012389B"/>
    <w:rsid w:val="0012432C"/>
    <w:rsid w:val="001244E7"/>
    <w:rsid w:val="00132BEA"/>
    <w:rsid w:val="00133303"/>
    <w:rsid w:val="0013631F"/>
    <w:rsid w:val="00140346"/>
    <w:rsid w:val="00142B8A"/>
    <w:rsid w:val="001463D0"/>
    <w:rsid w:val="0015051B"/>
    <w:rsid w:val="001550E8"/>
    <w:rsid w:val="001604E4"/>
    <w:rsid w:val="00166390"/>
    <w:rsid w:val="00167ED7"/>
    <w:rsid w:val="00172724"/>
    <w:rsid w:val="00172BE2"/>
    <w:rsid w:val="00172C59"/>
    <w:rsid w:val="00175FC4"/>
    <w:rsid w:val="00181F2C"/>
    <w:rsid w:val="00183928"/>
    <w:rsid w:val="00185BD7"/>
    <w:rsid w:val="00187684"/>
    <w:rsid w:val="00190E5A"/>
    <w:rsid w:val="001971C6"/>
    <w:rsid w:val="001A2074"/>
    <w:rsid w:val="001A3489"/>
    <w:rsid w:val="001A5E17"/>
    <w:rsid w:val="001B3874"/>
    <w:rsid w:val="001B593F"/>
    <w:rsid w:val="001C3A4B"/>
    <w:rsid w:val="001C4F36"/>
    <w:rsid w:val="001C6F38"/>
    <w:rsid w:val="001D0176"/>
    <w:rsid w:val="001D6FF4"/>
    <w:rsid w:val="001E29E9"/>
    <w:rsid w:val="001F06FD"/>
    <w:rsid w:val="001F09AF"/>
    <w:rsid w:val="001F4343"/>
    <w:rsid w:val="002014BD"/>
    <w:rsid w:val="00203342"/>
    <w:rsid w:val="00204270"/>
    <w:rsid w:val="002049C5"/>
    <w:rsid w:val="00217768"/>
    <w:rsid w:val="00222978"/>
    <w:rsid w:val="00222ABC"/>
    <w:rsid w:val="0022364A"/>
    <w:rsid w:val="0023149E"/>
    <w:rsid w:val="002408D4"/>
    <w:rsid w:val="002409A8"/>
    <w:rsid w:val="00240A60"/>
    <w:rsid w:val="00251B6A"/>
    <w:rsid w:val="00252C9C"/>
    <w:rsid w:val="00257583"/>
    <w:rsid w:val="00257D28"/>
    <w:rsid w:val="002637A3"/>
    <w:rsid w:val="002669D7"/>
    <w:rsid w:val="002676EA"/>
    <w:rsid w:val="0027571E"/>
    <w:rsid w:val="00276C83"/>
    <w:rsid w:val="002804EA"/>
    <w:rsid w:val="002810D0"/>
    <w:rsid w:val="002860AC"/>
    <w:rsid w:val="00286D1F"/>
    <w:rsid w:val="00287D9D"/>
    <w:rsid w:val="002A4DE7"/>
    <w:rsid w:val="002B40E7"/>
    <w:rsid w:val="002B5C55"/>
    <w:rsid w:val="002C72C4"/>
    <w:rsid w:val="002D1A39"/>
    <w:rsid w:val="002D718F"/>
    <w:rsid w:val="002E7030"/>
    <w:rsid w:val="002F58D3"/>
    <w:rsid w:val="00302890"/>
    <w:rsid w:val="0030428F"/>
    <w:rsid w:val="003060CD"/>
    <w:rsid w:val="00314FEC"/>
    <w:rsid w:val="0031610B"/>
    <w:rsid w:val="00327013"/>
    <w:rsid w:val="00330A45"/>
    <w:rsid w:val="00331B89"/>
    <w:rsid w:val="003334C8"/>
    <w:rsid w:val="00343538"/>
    <w:rsid w:val="00343D79"/>
    <w:rsid w:val="00344F28"/>
    <w:rsid w:val="00345040"/>
    <w:rsid w:val="00345484"/>
    <w:rsid w:val="00350E41"/>
    <w:rsid w:val="00351EFF"/>
    <w:rsid w:val="003619AD"/>
    <w:rsid w:val="0036426D"/>
    <w:rsid w:val="003645FB"/>
    <w:rsid w:val="00366934"/>
    <w:rsid w:val="00370B6B"/>
    <w:rsid w:val="003737EB"/>
    <w:rsid w:val="00373D6B"/>
    <w:rsid w:val="00377B53"/>
    <w:rsid w:val="00382651"/>
    <w:rsid w:val="00383CC3"/>
    <w:rsid w:val="00394262"/>
    <w:rsid w:val="003A1858"/>
    <w:rsid w:val="003A5639"/>
    <w:rsid w:val="003A5C2C"/>
    <w:rsid w:val="003A6F9C"/>
    <w:rsid w:val="003B7808"/>
    <w:rsid w:val="003C1896"/>
    <w:rsid w:val="003D6461"/>
    <w:rsid w:val="003E1D9A"/>
    <w:rsid w:val="003E2C89"/>
    <w:rsid w:val="003E7B84"/>
    <w:rsid w:val="003E7D92"/>
    <w:rsid w:val="003F1362"/>
    <w:rsid w:val="00400349"/>
    <w:rsid w:val="004021E1"/>
    <w:rsid w:val="00404800"/>
    <w:rsid w:val="004234A1"/>
    <w:rsid w:val="00424A87"/>
    <w:rsid w:val="00424EF7"/>
    <w:rsid w:val="00427FF4"/>
    <w:rsid w:val="00430EA8"/>
    <w:rsid w:val="0044561B"/>
    <w:rsid w:val="00447C73"/>
    <w:rsid w:val="00450360"/>
    <w:rsid w:val="00451B6F"/>
    <w:rsid w:val="00481A42"/>
    <w:rsid w:val="0048617E"/>
    <w:rsid w:val="00490415"/>
    <w:rsid w:val="0049780C"/>
    <w:rsid w:val="004A4CE2"/>
    <w:rsid w:val="004A4D15"/>
    <w:rsid w:val="004B1D94"/>
    <w:rsid w:val="004B62B0"/>
    <w:rsid w:val="004D20B3"/>
    <w:rsid w:val="004D551D"/>
    <w:rsid w:val="004E2256"/>
    <w:rsid w:val="004F0B16"/>
    <w:rsid w:val="004F7CCD"/>
    <w:rsid w:val="00505C33"/>
    <w:rsid w:val="00510A72"/>
    <w:rsid w:val="005118E2"/>
    <w:rsid w:val="00512B56"/>
    <w:rsid w:val="0051608A"/>
    <w:rsid w:val="005347D1"/>
    <w:rsid w:val="00536BFB"/>
    <w:rsid w:val="005414EE"/>
    <w:rsid w:val="00542358"/>
    <w:rsid w:val="00544669"/>
    <w:rsid w:val="00547D72"/>
    <w:rsid w:val="00553EC7"/>
    <w:rsid w:val="00554AD4"/>
    <w:rsid w:val="00555A54"/>
    <w:rsid w:val="00555E40"/>
    <w:rsid w:val="00560303"/>
    <w:rsid w:val="0056129F"/>
    <w:rsid w:val="00563BEB"/>
    <w:rsid w:val="00574284"/>
    <w:rsid w:val="00575CA9"/>
    <w:rsid w:val="00576F81"/>
    <w:rsid w:val="00582A93"/>
    <w:rsid w:val="00583A45"/>
    <w:rsid w:val="00586F33"/>
    <w:rsid w:val="00587B60"/>
    <w:rsid w:val="00595D78"/>
    <w:rsid w:val="005A2222"/>
    <w:rsid w:val="005A4B47"/>
    <w:rsid w:val="005A64E6"/>
    <w:rsid w:val="005B1E00"/>
    <w:rsid w:val="005B4CF4"/>
    <w:rsid w:val="005B4D69"/>
    <w:rsid w:val="005B68CB"/>
    <w:rsid w:val="005B7059"/>
    <w:rsid w:val="005C32BD"/>
    <w:rsid w:val="005D4B89"/>
    <w:rsid w:val="005E12BF"/>
    <w:rsid w:val="005F13AD"/>
    <w:rsid w:val="005F7B2F"/>
    <w:rsid w:val="006038DE"/>
    <w:rsid w:val="0060447E"/>
    <w:rsid w:val="006061CD"/>
    <w:rsid w:val="00607C99"/>
    <w:rsid w:val="00612A43"/>
    <w:rsid w:val="00612FF7"/>
    <w:rsid w:val="006162A6"/>
    <w:rsid w:val="0062176E"/>
    <w:rsid w:val="00621FEF"/>
    <w:rsid w:val="006232B5"/>
    <w:rsid w:val="006247BC"/>
    <w:rsid w:val="0062604F"/>
    <w:rsid w:val="00643BF5"/>
    <w:rsid w:val="0066113F"/>
    <w:rsid w:val="00673704"/>
    <w:rsid w:val="00675F3E"/>
    <w:rsid w:val="006779BC"/>
    <w:rsid w:val="00684243"/>
    <w:rsid w:val="00685E19"/>
    <w:rsid w:val="00695767"/>
    <w:rsid w:val="006974A4"/>
    <w:rsid w:val="006A2163"/>
    <w:rsid w:val="006B0648"/>
    <w:rsid w:val="006B43A7"/>
    <w:rsid w:val="006C0654"/>
    <w:rsid w:val="006C7012"/>
    <w:rsid w:val="006D4428"/>
    <w:rsid w:val="006F31F3"/>
    <w:rsid w:val="006F4B99"/>
    <w:rsid w:val="006F5240"/>
    <w:rsid w:val="006F7AF5"/>
    <w:rsid w:val="0070630D"/>
    <w:rsid w:val="00706B75"/>
    <w:rsid w:val="00711ADC"/>
    <w:rsid w:val="00726098"/>
    <w:rsid w:val="007266E5"/>
    <w:rsid w:val="00731810"/>
    <w:rsid w:val="007338F6"/>
    <w:rsid w:val="00733FBC"/>
    <w:rsid w:val="00735455"/>
    <w:rsid w:val="00746555"/>
    <w:rsid w:val="00746708"/>
    <w:rsid w:val="00750232"/>
    <w:rsid w:val="00755712"/>
    <w:rsid w:val="00760095"/>
    <w:rsid w:val="00760C73"/>
    <w:rsid w:val="00760D91"/>
    <w:rsid w:val="00774BB7"/>
    <w:rsid w:val="0077747A"/>
    <w:rsid w:val="00780C5F"/>
    <w:rsid w:val="00792E36"/>
    <w:rsid w:val="007A04AE"/>
    <w:rsid w:val="007A3BC9"/>
    <w:rsid w:val="007B1E72"/>
    <w:rsid w:val="007B6BFC"/>
    <w:rsid w:val="007C07CE"/>
    <w:rsid w:val="007C23C3"/>
    <w:rsid w:val="007C281D"/>
    <w:rsid w:val="007C4B31"/>
    <w:rsid w:val="007C7EAC"/>
    <w:rsid w:val="007D1226"/>
    <w:rsid w:val="007D44DB"/>
    <w:rsid w:val="007D500B"/>
    <w:rsid w:val="007D78CF"/>
    <w:rsid w:val="007E191D"/>
    <w:rsid w:val="007E1A38"/>
    <w:rsid w:val="007E3664"/>
    <w:rsid w:val="007E6604"/>
    <w:rsid w:val="007F55AC"/>
    <w:rsid w:val="00803F03"/>
    <w:rsid w:val="00807F54"/>
    <w:rsid w:val="00810E8A"/>
    <w:rsid w:val="00812AC3"/>
    <w:rsid w:val="00812FE9"/>
    <w:rsid w:val="0081424A"/>
    <w:rsid w:val="00821040"/>
    <w:rsid w:val="0082265E"/>
    <w:rsid w:val="0082296A"/>
    <w:rsid w:val="00824129"/>
    <w:rsid w:val="0082738D"/>
    <w:rsid w:val="0083269B"/>
    <w:rsid w:val="00840874"/>
    <w:rsid w:val="00844318"/>
    <w:rsid w:val="0085056E"/>
    <w:rsid w:val="00851C37"/>
    <w:rsid w:val="008564FF"/>
    <w:rsid w:val="00857A07"/>
    <w:rsid w:val="008622FD"/>
    <w:rsid w:val="00870453"/>
    <w:rsid w:val="00874D79"/>
    <w:rsid w:val="008819E6"/>
    <w:rsid w:val="00894380"/>
    <w:rsid w:val="00894974"/>
    <w:rsid w:val="00895EF3"/>
    <w:rsid w:val="00896C10"/>
    <w:rsid w:val="008A0383"/>
    <w:rsid w:val="008A40E0"/>
    <w:rsid w:val="008A7624"/>
    <w:rsid w:val="008B11F1"/>
    <w:rsid w:val="008B7DD0"/>
    <w:rsid w:val="008C3BEF"/>
    <w:rsid w:val="008C3E7E"/>
    <w:rsid w:val="008D172F"/>
    <w:rsid w:val="008D3176"/>
    <w:rsid w:val="008D3B98"/>
    <w:rsid w:val="008D45C8"/>
    <w:rsid w:val="008E6589"/>
    <w:rsid w:val="008F316A"/>
    <w:rsid w:val="008F35A1"/>
    <w:rsid w:val="00904124"/>
    <w:rsid w:val="0090669E"/>
    <w:rsid w:val="00911E11"/>
    <w:rsid w:val="00921BC1"/>
    <w:rsid w:val="00927177"/>
    <w:rsid w:val="0093002D"/>
    <w:rsid w:val="00937AF0"/>
    <w:rsid w:val="00943164"/>
    <w:rsid w:val="0094401D"/>
    <w:rsid w:val="0094522C"/>
    <w:rsid w:val="009476AC"/>
    <w:rsid w:val="00954002"/>
    <w:rsid w:val="0095685D"/>
    <w:rsid w:val="009616D3"/>
    <w:rsid w:val="00966B63"/>
    <w:rsid w:val="009701D1"/>
    <w:rsid w:val="009713AB"/>
    <w:rsid w:val="009763F7"/>
    <w:rsid w:val="00981792"/>
    <w:rsid w:val="009857E6"/>
    <w:rsid w:val="0099650F"/>
    <w:rsid w:val="009A2BCD"/>
    <w:rsid w:val="009A5ECD"/>
    <w:rsid w:val="009A7227"/>
    <w:rsid w:val="009B5BC7"/>
    <w:rsid w:val="009D12F2"/>
    <w:rsid w:val="009D3A4B"/>
    <w:rsid w:val="009D4339"/>
    <w:rsid w:val="009F23C5"/>
    <w:rsid w:val="009F4EA3"/>
    <w:rsid w:val="009F695A"/>
    <w:rsid w:val="00A0078C"/>
    <w:rsid w:val="00A018B4"/>
    <w:rsid w:val="00A21415"/>
    <w:rsid w:val="00A22BE4"/>
    <w:rsid w:val="00A239E9"/>
    <w:rsid w:val="00A31A63"/>
    <w:rsid w:val="00A31AC0"/>
    <w:rsid w:val="00A31C1B"/>
    <w:rsid w:val="00A50878"/>
    <w:rsid w:val="00A51D90"/>
    <w:rsid w:val="00A62643"/>
    <w:rsid w:val="00A666BD"/>
    <w:rsid w:val="00A72F6D"/>
    <w:rsid w:val="00A74985"/>
    <w:rsid w:val="00A7526F"/>
    <w:rsid w:val="00A776B7"/>
    <w:rsid w:val="00A77BB3"/>
    <w:rsid w:val="00A77DA5"/>
    <w:rsid w:val="00A809C9"/>
    <w:rsid w:val="00A8420F"/>
    <w:rsid w:val="00A86A3D"/>
    <w:rsid w:val="00A8757C"/>
    <w:rsid w:val="00A915FE"/>
    <w:rsid w:val="00A9578A"/>
    <w:rsid w:val="00A96E91"/>
    <w:rsid w:val="00AB3CFA"/>
    <w:rsid w:val="00AC3063"/>
    <w:rsid w:val="00AC4257"/>
    <w:rsid w:val="00AD4028"/>
    <w:rsid w:val="00AD4519"/>
    <w:rsid w:val="00AF0011"/>
    <w:rsid w:val="00AF05A7"/>
    <w:rsid w:val="00AF7BD5"/>
    <w:rsid w:val="00B0015D"/>
    <w:rsid w:val="00B0348C"/>
    <w:rsid w:val="00B06EF6"/>
    <w:rsid w:val="00B10643"/>
    <w:rsid w:val="00B110B0"/>
    <w:rsid w:val="00B23819"/>
    <w:rsid w:val="00B301DB"/>
    <w:rsid w:val="00B31A06"/>
    <w:rsid w:val="00B3583D"/>
    <w:rsid w:val="00B37BDB"/>
    <w:rsid w:val="00B37E5D"/>
    <w:rsid w:val="00B420F9"/>
    <w:rsid w:val="00B43CAA"/>
    <w:rsid w:val="00B442F9"/>
    <w:rsid w:val="00B45AE4"/>
    <w:rsid w:val="00B47465"/>
    <w:rsid w:val="00B50E76"/>
    <w:rsid w:val="00B54C55"/>
    <w:rsid w:val="00B73741"/>
    <w:rsid w:val="00B758B1"/>
    <w:rsid w:val="00B811C7"/>
    <w:rsid w:val="00B83084"/>
    <w:rsid w:val="00B84052"/>
    <w:rsid w:val="00B87B17"/>
    <w:rsid w:val="00BA01C5"/>
    <w:rsid w:val="00BA25A9"/>
    <w:rsid w:val="00BA6923"/>
    <w:rsid w:val="00BB494A"/>
    <w:rsid w:val="00BB7E3F"/>
    <w:rsid w:val="00BC12F9"/>
    <w:rsid w:val="00BC17CD"/>
    <w:rsid w:val="00BD489F"/>
    <w:rsid w:val="00BD6A6C"/>
    <w:rsid w:val="00BE04BD"/>
    <w:rsid w:val="00BE1F96"/>
    <w:rsid w:val="00BE2D03"/>
    <w:rsid w:val="00BE717A"/>
    <w:rsid w:val="00BE776E"/>
    <w:rsid w:val="00BE7F71"/>
    <w:rsid w:val="00BF17F2"/>
    <w:rsid w:val="00BF4568"/>
    <w:rsid w:val="00BF58AE"/>
    <w:rsid w:val="00C01E7F"/>
    <w:rsid w:val="00C05434"/>
    <w:rsid w:val="00C142DE"/>
    <w:rsid w:val="00C20965"/>
    <w:rsid w:val="00C211C9"/>
    <w:rsid w:val="00C30861"/>
    <w:rsid w:val="00C332FD"/>
    <w:rsid w:val="00C434A1"/>
    <w:rsid w:val="00C43786"/>
    <w:rsid w:val="00C47020"/>
    <w:rsid w:val="00C53BCB"/>
    <w:rsid w:val="00C6061F"/>
    <w:rsid w:val="00C70F34"/>
    <w:rsid w:val="00C73537"/>
    <w:rsid w:val="00C75DDE"/>
    <w:rsid w:val="00C84850"/>
    <w:rsid w:val="00CA576C"/>
    <w:rsid w:val="00CC64D5"/>
    <w:rsid w:val="00CD0DCF"/>
    <w:rsid w:val="00CD17B2"/>
    <w:rsid w:val="00CD3F3C"/>
    <w:rsid w:val="00CD557E"/>
    <w:rsid w:val="00CE0766"/>
    <w:rsid w:val="00CE0937"/>
    <w:rsid w:val="00CE195E"/>
    <w:rsid w:val="00CF0C1B"/>
    <w:rsid w:val="00CF551F"/>
    <w:rsid w:val="00CF623F"/>
    <w:rsid w:val="00CF6E94"/>
    <w:rsid w:val="00CF75D0"/>
    <w:rsid w:val="00D04162"/>
    <w:rsid w:val="00D05F7A"/>
    <w:rsid w:val="00D16551"/>
    <w:rsid w:val="00D22E9F"/>
    <w:rsid w:val="00D2635E"/>
    <w:rsid w:val="00D36360"/>
    <w:rsid w:val="00D435B9"/>
    <w:rsid w:val="00D44951"/>
    <w:rsid w:val="00D5040A"/>
    <w:rsid w:val="00D51139"/>
    <w:rsid w:val="00D52300"/>
    <w:rsid w:val="00D53302"/>
    <w:rsid w:val="00D5577B"/>
    <w:rsid w:val="00D60242"/>
    <w:rsid w:val="00D61217"/>
    <w:rsid w:val="00D763E7"/>
    <w:rsid w:val="00D774CB"/>
    <w:rsid w:val="00D830FF"/>
    <w:rsid w:val="00D8346F"/>
    <w:rsid w:val="00D935F3"/>
    <w:rsid w:val="00D9431D"/>
    <w:rsid w:val="00D96E2B"/>
    <w:rsid w:val="00DA2C7C"/>
    <w:rsid w:val="00DA772C"/>
    <w:rsid w:val="00DB01DD"/>
    <w:rsid w:val="00DB0522"/>
    <w:rsid w:val="00DB49EC"/>
    <w:rsid w:val="00DB6253"/>
    <w:rsid w:val="00DC2AED"/>
    <w:rsid w:val="00DC5867"/>
    <w:rsid w:val="00DD1E35"/>
    <w:rsid w:val="00DD3B25"/>
    <w:rsid w:val="00DD6680"/>
    <w:rsid w:val="00DD673C"/>
    <w:rsid w:val="00DE06C4"/>
    <w:rsid w:val="00DE0F33"/>
    <w:rsid w:val="00DE546B"/>
    <w:rsid w:val="00DE5CF4"/>
    <w:rsid w:val="00DF0EA3"/>
    <w:rsid w:val="00DF3228"/>
    <w:rsid w:val="00DF518B"/>
    <w:rsid w:val="00E01CC7"/>
    <w:rsid w:val="00E06725"/>
    <w:rsid w:val="00E21DBA"/>
    <w:rsid w:val="00E27D89"/>
    <w:rsid w:val="00E3092E"/>
    <w:rsid w:val="00E521E7"/>
    <w:rsid w:val="00E55B79"/>
    <w:rsid w:val="00E62CAB"/>
    <w:rsid w:val="00E63FDF"/>
    <w:rsid w:val="00E667FD"/>
    <w:rsid w:val="00E66AF7"/>
    <w:rsid w:val="00E67386"/>
    <w:rsid w:val="00E7463C"/>
    <w:rsid w:val="00E75025"/>
    <w:rsid w:val="00E811EB"/>
    <w:rsid w:val="00E83CEC"/>
    <w:rsid w:val="00E8427F"/>
    <w:rsid w:val="00E85443"/>
    <w:rsid w:val="00E87070"/>
    <w:rsid w:val="00EA480E"/>
    <w:rsid w:val="00EB17CA"/>
    <w:rsid w:val="00EB26E6"/>
    <w:rsid w:val="00EC34B4"/>
    <w:rsid w:val="00ED2F7F"/>
    <w:rsid w:val="00ED45C2"/>
    <w:rsid w:val="00ED48C6"/>
    <w:rsid w:val="00ED74DD"/>
    <w:rsid w:val="00EE0B7E"/>
    <w:rsid w:val="00EE233A"/>
    <w:rsid w:val="00EE3B9A"/>
    <w:rsid w:val="00EE49A8"/>
    <w:rsid w:val="00EF1658"/>
    <w:rsid w:val="00EF1806"/>
    <w:rsid w:val="00EF24A9"/>
    <w:rsid w:val="00EF5D62"/>
    <w:rsid w:val="00EF7BE9"/>
    <w:rsid w:val="00F05461"/>
    <w:rsid w:val="00F05B42"/>
    <w:rsid w:val="00F07F3C"/>
    <w:rsid w:val="00F14117"/>
    <w:rsid w:val="00F2345A"/>
    <w:rsid w:val="00F237C3"/>
    <w:rsid w:val="00F247B0"/>
    <w:rsid w:val="00F332A5"/>
    <w:rsid w:val="00F459D7"/>
    <w:rsid w:val="00F45E55"/>
    <w:rsid w:val="00F532CC"/>
    <w:rsid w:val="00F54910"/>
    <w:rsid w:val="00F57D2C"/>
    <w:rsid w:val="00F60DFC"/>
    <w:rsid w:val="00F62F10"/>
    <w:rsid w:val="00F65C36"/>
    <w:rsid w:val="00F80C40"/>
    <w:rsid w:val="00F815FF"/>
    <w:rsid w:val="00F82C97"/>
    <w:rsid w:val="00F84D6E"/>
    <w:rsid w:val="00F84DE9"/>
    <w:rsid w:val="00F85EEF"/>
    <w:rsid w:val="00F87D1D"/>
    <w:rsid w:val="00F92768"/>
    <w:rsid w:val="00F97C62"/>
    <w:rsid w:val="00FA4861"/>
    <w:rsid w:val="00FA48FD"/>
    <w:rsid w:val="00FA7E92"/>
    <w:rsid w:val="00FB2F86"/>
    <w:rsid w:val="00FB4986"/>
    <w:rsid w:val="00FB7CDA"/>
    <w:rsid w:val="00FC59EF"/>
    <w:rsid w:val="00FD6E7B"/>
    <w:rsid w:val="00FE567B"/>
    <w:rsid w:val="00FF0DA1"/>
    <w:rsid w:val="00FF69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AB435-EC45-4D2C-85C6-A54C5A4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E7"/>
    <w:pPr>
      <w:spacing w:after="120" w:line="264" w:lineRule="auto"/>
    </w:pPr>
    <w:rPr>
      <w:rFonts w:ascii="Calibri" w:eastAsia="Times New Roman" w:hAnsi="Calibri" w:cs="Times New Roman"/>
      <w:sz w:val="20"/>
      <w:szCs w:val="20"/>
      <w:lang w:eastAsia="es-CO"/>
    </w:rPr>
  </w:style>
  <w:style w:type="paragraph" w:styleId="Ttulo1">
    <w:name w:val="heading 1"/>
    <w:basedOn w:val="Normal"/>
    <w:next w:val="Normal"/>
    <w:link w:val="Ttulo1Car"/>
    <w:uiPriority w:val="9"/>
    <w:qFormat/>
    <w:rsid w:val="007C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A722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21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1E7"/>
  </w:style>
  <w:style w:type="paragraph" w:styleId="Piedepgina">
    <w:name w:val="footer"/>
    <w:basedOn w:val="Normal"/>
    <w:link w:val="PiedepginaCar"/>
    <w:uiPriority w:val="99"/>
    <w:unhideWhenUsed/>
    <w:rsid w:val="00E521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1E7"/>
  </w:style>
  <w:style w:type="paragraph" w:styleId="Prrafodelista">
    <w:name w:val="List Paragraph"/>
    <w:basedOn w:val="Normal"/>
    <w:uiPriority w:val="34"/>
    <w:qFormat/>
    <w:rsid w:val="00E521E7"/>
    <w:pPr>
      <w:ind w:left="720"/>
      <w:contextualSpacing/>
    </w:pPr>
  </w:style>
  <w:style w:type="paragraph" w:customStyle="1" w:styleId="CUERPO1">
    <w:name w:val="CUERPO1"/>
    <w:basedOn w:val="Normal"/>
    <w:link w:val="CUERPO1Car"/>
    <w:qFormat/>
    <w:rsid w:val="00000B20"/>
    <w:pPr>
      <w:jc w:val="both"/>
    </w:pPr>
    <w:rPr>
      <w:rFonts w:ascii="Arial" w:hAnsi="Arial" w:cs="Arial"/>
    </w:rPr>
  </w:style>
  <w:style w:type="character" w:customStyle="1" w:styleId="CUERPO1Car">
    <w:name w:val="CUERPO1 Car"/>
    <w:link w:val="CUERPO1"/>
    <w:rsid w:val="00000B20"/>
    <w:rPr>
      <w:rFonts w:ascii="Arial" w:eastAsia="Times New Roman" w:hAnsi="Arial" w:cs="Arial"/>
      <w:sz w:val="20"/>
      <w:szCs w:val="20"/>
      <w:lang w:eastAsia="es-CO"/>
    </w:rPr>
  </w:style>
  <w:style w:type="character" w:styleId="Textoennegrita">
    <w:name w:val="Strong"/>
    <w:basedOn w:val="Fuentedeprrafopredeter"/>
    <w:uiPriority w:val="22"/>
    <w:qFormat/>
    <w:rsid w:val="0012432C"/>
    <w:rPr>
      <w:b/>
      <w:bCs/>
    </w:rPr>
  </w:style>
  <w:style w:type="character" w:customStyle="1" w:styleId="apple-converted-space">
    <w:name w:val="apple-converted-space"/>
    <w:basedOn w:val="Fuentedeprrafopredeter"/>
    <w:rsid w:val="0012432C"/>
  </w:style>
  <w:style w:type="character" w:styleId="Hipervnculo">
    <w:name w:val="Hyperlink"/>
    <w:basedOn w:val="Fuentedeprrafopredeter"/>
    <w:uiPriority w:val="99"/>
    <w:semiHidden/>
    <w:unhideWhenUsed/>
    <w:rsid w:val="0012432C"/>
    <w:rPr>
      <w:color w:val="0000FF"/>
      <w:u w:val="single"/>
    </w:rPr>
  </w:style>
  <w:style w:type="paragraph" w:customStyle="1" w:styleId="cuadro1">
    <w:name w:val="cuadro 1"/>
    <w:basedOn w:val="Normal"/>
    <w:link w:val="cuadro1Car"/>
    <w:qFormat/>
    <w:rsid w:val="0081424A"/>
    <w:pPr>
      <w:jc w:val="center"/>
    </w:pPr>
    <w:rPr>
      <w:rFonts w:ascii="Arial" w:hAnsi="Arial" w:cs="Arial"/>
      <w:sz w:val="24"/>
      <w:szCs w:val="24"/>
      <w:lang w:val="es-MX"/>
    </w:rPr>
  </w:style>
  <w:style w:type="character" w:customStyle="1" w:styleId="cuadro1Car">
    <w:name w:val="cuadro 1 Car"/>
    <w:link w:val="cuadro1"/>
    <w:rsid w:val="0081424A"/>
    <w:rPr>
      <w:rFonts w:ascii="Arial" w:eastAsia="Times New Roman" w:hAnsi="Arial" w:cs="Arial"/>
      <w:sz w:val="24"/>
      <w:szCs w:val="24"/>
      <w:lang w:val="es-MX" w:eastAsia="es-CO"/>
    </w:rPr>
  </w:style>
  <w:style w:type="character" w:styleId="Ttulodellibro">
    <w:name w:val="Book Title"/>
    <w:uiPriority w:val="33"/>
    <w:qFormat/>
    <w:rsid w:val="002C72C4"/>
    <w:rPr>
      <w:b/>
      <w:bCs/>
      <w:smallCaps/>
    </w:rPr>
  </w:style>
  <w:style w:type="paragraph" w:customStyle="1" w:styleId="titulo1">
    <w:name w:val="titulo1"/>
    <w:basedOn w:val="Normal"/>
    <w:link w:val="titulo1Car"/>
    <w:qFormat/>
    <w:rsid w:val="002C72C4"/>
    <w:pPr>
      <w:numPr>
        <w:numId w:val="8"/>
      </w:numPr>
      <w:jc w:val="both"/>
    </w:pPr>
    <w:rPr>
      <w:rFonts w:ascii="Arial" w:hAnsi="Arial" w:cs="Arial"/>
      <w:sz w:val="24"/>
      <w:szCs w:val="24"/>
    </w:rPr>
  </w:style>
  <w:style w:type="character" w:customStyle="1" w:styleId="titulo1Car">
    <w:name w:val="titulo1 Car"/>
    <w:link w:val="titulo1"/>
    <w:rsid w:val="002C72C4"/>
    <w:rPr>
      <w:rFonts w:ascii="Arial" w:eastAsia="Times New Roman" w:hAnsi="Arial" w:cs="Arial"/>
      <w:sz w:val="24"/>
      <w:szCs w:val="24"/>
      <w:lang w:eastAsia="es-CO"/>
    </w:rPr>
  </w:style>
  <w:style w:type="character" w:customStyle="1" w:styleId="Ttulo1Car">
    <w:name w:val="Título 1 Car"/>
    <w:basedOn w:val="Fuentedeprrafopredeter"/>
    <w:link w:val="Ttulo1"/>
    <w:uiPriority w:val="9"/>
    <w:rsid w:val="007C07CE"/>
    <w:rPr>
      <w:rFonts w:asciiTheme="majorHAnsi" w:eastAsiaTheme="majorEastAsia" w:hAnsiTheme="majorHAnsi" w:cstheme="majorBidi"/>
      <w:color w:val="2E74B5" w:themeColor="accent1" w:themeShade="BF"/>
      <w:sz w:val="32"/>
      <w:szCs w:val="32"/>
      <w:lang w:eastAsia="es-CO"/>
    </w:rPr>
  </w:style>
  <w:style w:type="paragraph" w:styleId="TtuloTDC">
    <w:name w:val="TOC Heading"/>
    <w:basedOn w:val="Ttulo1"/>
    <w:next w:val="Normal"/>
    <w:uiPriority w:val="39"/>
    <w:unhideWhenUsed/>
    <w:qFormat/>
    <w:rsid w:val="007C07CE"/>
    <w:pPr>
      <w:spacing w:line="259" w:lineRule="auto"/>
      <w:outlineLvl w:val="9"/>
    </w:pPr>
  </w:style>
  <w:style w:type="paragraph" w:customStyle="1" w:styleId="CarCarCarCar">
    <w:name w:val="Car Car Car Car"/>
    <w:basedOn w:val="Normal"/>
    <w:rsid w:val="00612FF7"/>
    <w:pPr>
      <w:spacing w:after="160" w:line="240" w:lineRule="exact"/>
    </w:pPr>
    <w:rPr>
      <w:rFonts w:ascii="Verdana" w:hAnsi="Verdana"/>
      <w:lang w:val="en-US" w:eastAsia="en-US"/>
    </w:rPr>
  </w:style>
  <w:style w:type="character" w:styleId="Textodelmarcadordeposicin">
    <w:name w:val="Placeholder Text"/>
    <w:basedOn w:val="Fuentedeprrafopredeter"/>
    <w:uiPriority w:val="99"/>
    <w:semiHidden/>
    <w:rsid w:val="00937AF0"/>
    <w:rPr>
      <w:color w:val="808080"/>
    </w:rPr>
  </w:style>
  <w:style w:type="paragraph" w:styleId="Descripcin">
    <w:name w:val="caption"/>
    <w:basedOn w:val="Normal"/>
    <w:next w:val="Normal"/>
    <w:uiPriority w:val="35"/>
    <w:unhideWhenUsed/>
    <w:qFormat/>
    <w:rsid w:val="00FD6E7B"/>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343538"/>
    <w:rPr>
      <w:sz w:val="16"/>
      <w:szCs w:val="16"/>
    </w:rPr>
  </w:style>
  <w:style w:type="paragraph" w:styleId="Textocomentario">
    <w:name w:val="annotation text"/>
    <w:basedOn w:val="Normal"/>
    <w:link w:val="TextocomentarioCar"/>
    <w:uiPriority w:val="99"/>
    <w:unhideWhenUsed/>
    <w:rsid w:val="00343538"/>
    <w:pPr>
      <w:spacing w:line="240" w:lineRule="auto"/>
    </w:pPr>
  </w:style>
  <w:style w:type="character" w:customStyle="1" w:styleId="TextocomentarioCar">
    <w:name w:val="Texto comentario Car"/>
    <w:basedOn w:val="Fuentedeprrafopredeter"/>
    <w:link w:val="Textocomentario"/>
    <w:uiPriority w:val="99"/>
    <w:rsid w:val="00343538"/>
    <w:rPr>
      <w:rFonts w:ascii="Calibri" w:eastAsia="Times New Roman" w:hAnsi="Calibri" w:cs="Times New Roman"/>
      <w:sz w:val="20"/>
      <w:szCs w:val="20"/>
      <w:lang w:eastAsia="es-CO"/>
    </w:rPr>
  </w:style>
  <w:style w:type="paragraph" w:styleId="Textodeglobo">
    <w:name w:val="Balloon Text"/>
    <w:basedOn w:val="Normal"/>
    <w:link w:val="TextodegloboCar"/>
    <w:uiPriority w:val="99"/>
    <w:semiHidden/>
    <w:unhideWhenUsed/>
    <w:rsid w:val="003435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538"/>
    <w:rPr>
      <w:rFonts w:ascii="Segoe UI" w:eastAsia="Times New Roman" w:hAnsi="Segoe UI" w:cs="Segoe UI"/>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810E8A"/>
    <w:rPr>
      <w:b/>
      <w:bCs/>
    </w:rPr>
  </w:style>
  <w:style w:type="character" w:customStyle="1" w:styleId="AsuntodelcomentarioCar">
    <w:name w:val="Asunto del comentario Car"/>
    <w:basedOn w:val="TextocomentarioCar"/>
    <w:link w:val="Asuntodelcomentario"/>
    <w:uiPriority w:val="99"/>
    <w:semiHidden/>
    <w:rsid w:val="00810E8A"/>
    <w:rPr>
      <w:rFonts w:ascii="Calibri" w:eastAsia="Times New Roman" w:hAnsi="Calibri" w:cs="Times New Roman"/>
      <w:b/>
      <w:bCs/>
      <w:sz w:val="20"/>
      <w:szCs w:val="20"/>
      <w:lang w:eastAsia="es-CO"/>
    </w:rPr>
  </w:style>
  <w:style w:type="character" w:customStyle="1" w:styleId="Ttulo2Car">
    <w:name w:val="Título 2 Car"/>
    <w:basedOn w:val="Fuentedeprrafopredeter"/>
    <w:link w:val="Ttulo2"/>
    <w:uiPriority w:val="9"/>
    <w:rsid w:val="009A7227"/>
    <w:rPr>
      <w:rFonts w:asciiTheme="majorHAnsi" w:eastAsiaTheme="majorEastAsia" w:hAnsiTheme="majorHAnsi" w:cstheme="majorBidi"/>
      <w:color w:val="2E74B5" w:themeColor="accent1" w:themeShade="BF"/>
      <w:sz w:val="26"/>
      <w:szCs w:val="26"/>
      <w:lang w:val="es-ES_tradnl" w:eastAsia="es-ES"/>
    </w:rPr>
  </w:style>
  <w:style w:type="table" w:styleId="Tablaconcuadrcula">
    <w:name w:val="Table Grid"/>
    <w:basedOn w:val="Tablanormal"/>
    <w:uiPriority w:val="39"/>
    <w:rsid w:val="001A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1C1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575">
      <w:bodyDiv w:val="1"/>
      <w:marLeft w:val="0"/>
      <w:marRight w:val="0"/>
      <w:marTop w:val="0"/>
      <w:marBottom w:val="0"/>
      <w:divBdr>
        <w:top w:val="none" w:sz="0" w:space="0" w:color="auto"/>
        <w:left w:val="none" w:sz="0" w:space="0" w:color="auto"/>
        <w:bottom w:val="none" w:sz="0" w:space="0" w:color="auto"/>
        <w:right w:val="none" w:sz="0" w:space="0" w:color="auto"/>
      </w:divBdr>
    </w:div>
    <w:div w:id="128717991">
      <w:bodyDiv w:val="1"/>
      <w:marLeft w:val="0"/>
      <w:marRight w:val="0"/>
      <w:marTop w:val="0"/>
      <w:marBottom w:val="0"/>
      <w:divBdr>
        <w:top w:val="none" w:sz="0" w:space="0" w:color="auto"/>
        <w:left w:val="none" w:sz="0" w:space="0" w:color="auto"/>
        <w:bottom w:val="none" w:sz="0" w:space="0" w:color="auto"/>
        <w:right w:val="none" w:sz="0" w:space="0" w:color="auto"/>
      </w:divBdr>
    </w:div>
    <w:div w:id="134221958">
      <w:bodyDiv w:val="1"/>
      <w:marLeft w:val="0"/>
      <w:marRight w:val="0"/>
      <w:marTop w:val="0"/>
      <w:marBottom w:val="0"/>
      <w:divBdr>
        <w:top w:val="none" w:sz="0" w:space="0" w:color="auto"/>
        <w:left w:val="none" w:sz="0" w:space="0" w:color="auto"/>
        <w:bottom w:val="none" w:sz="0" w:space="0" w:color="auto"/>
        <w:right w:val="none" w:sz="0" w:space="0" w:color="auto"/>
      </w:divBdr>
    </w:div>
    <w:div w:id="181208616">
      <w:bodyDiv w:val="1"/>
      <w:marLeft w:val="0"/>
      <w:marRight w:val="0"/>
      <w:marTop w:val="0"/>
      <w:marBottom w:val="0"/>
      <w:divBdr>
        <w:top w:val="none" w:sz="0" w:space="0" w:color="auto"/>
        <w:left w:val="none" w:sz="0" w:space="0" w:color="auto"/>
        <w:bottom w:val="none" w:sz="0" w:space="0" w:color="auto"/>
        <w:right w:val="none" w:sz="0" w:space="0" w:color="auto"/>
      </w:divBdr>
    </w:div>
    <w:div w:id="212234873">
      <w:bodyDiv w:val="1"/>
      <w:marLeft w:val="0"/>
      <w:marRight w:val="0"/>
      <w:marTop w:val="0"/>
      <w:marBottom w:val="0"/>
      <w:divBdr>
        <w:top w:val="none" w:sz="0" w:space="0" w:color="auto"/>
        <w:left w:val="none" w:sz="0" w:space="0" w:color="auto"/>
        <w:bottom w:val="none" w:sz="0" w:space="0" w:color="auto"/>
        <w:right w:val="none" w:sz="0" w:space="0" w:color="auto"/>
      </w:divBdr>
    </w:div>
    <w:div w:id="224340653">
      <w:bodyDiv w:val="1"/>
      <w:marLeft w:val="0"/>
      <w:marRight w:val="0"/>
      <w:marTop w:val="0"/>
      <w:marBottom w:val="0"/>
      <w:divBdr>
        <w:top w:val="none" w:sz="0" w:space="0" w:color="auto"/>
        <w:left w:val="none" w:sz="0" w:space="0" w:color="auto"/>
        <w:bottom w:val="none" w:sz="0" w:space="0" w:color="auto"/>
        <w:right w:val="none" w:sz="0" w:space="0" w:color="auto"/>
      </w:divBdr>
    </w:div>
    <w:div w:id="238829303">
      <w:bodyDiv w:val="1"/>
      <w:marLeft w:val="0"/>
      <w:marRight w:val="0"/>
      <w:marTop w:val="0"/>
      <w:marBottom w:val="0"/>
      <w:divBdr>
        <w:top w:val="none" w:sz="0" w:space="0" w:color="auto"/>
        <w:left w:val="none" w:sz="0" w:space="0" w:color="auto"/>
        <w:bottom w:val="none" w:sz="0" w:space="0" w:color="auto"/>
        <w:right w:val="none" w:sz="0" w:space="0" w:color="auto"/>
      </w:divBdr>
    </w:div>
    <w:div w:id="240801368">
      <w:bodyDiv w:val="1"/>
      <w:marLeft w:val="0"/>
      <w:marRight w:val="0"/>
      <w:marTop w:val="0"/>
      <w:marBottom w:val="0"/>
      <w:divBdr>
        <w:top w:val="none" w:sz="0" w:space="0" w:color="auto"/>
        <w:left w:val="none" w:sz="0" w:space="0" w:color="auto"/>
        <w:bottom w:val="none" w:sz="0" w:space="0" w:color="auto"/>
        <w:right w:val="none" w:sz="0" w:space="0" w:color="auto"/>
      </w:divBdr>
    </w:div>
    <w:div w:id="244806154">
      <w:bodyDiv w:val="1"/>
      <w:marLeft w:val="0"/>
      <w:marRight w:val="0"/>
      <w:marTop w:val="0"/>
      <w:marBottom w:val="0"/>
      <w:divBdr>
        <w:top w:val="none" w:sz="0" w:space="0" w:color="auto"/>
        <w:left w:val="none" w:sz="0" w:space="0" w:color="auto"/>
        <w:bottom w:val="none" w:sz="0" w:space="0" w:color="auto"/>
        <w:right w:val="none" w:sz="0" w:space="0" w:color="auto"/>
      </w:divBdr>
    </w:div>
    <w:div w:id="253168850">
      <w:bodyDiv w:val="1"/>
      <w:marLeft w:val="0"/>
      <w:marRight w:val="0"/>
      <w:marTop w:val="0"/>
      <w:marBottom w:val="0"/>
      <w:divBdr>
        <w:top w:val="none" w:sz="0" w:space="0" w:color="auto"/>
        <w:left w:val="none" w:sz="0" w:space="0" w:color="auto"/>
        <w:bottom w:val="none" w:sz="0" w:space="0" w:color="auto"/>
        <w:right w:val="none" w:sz="0" w:space="0" w:color="auto"/>
      </w:divBdr>
    </w:div>
    <w:div w:id="292099151">
      <w:bodyDiv w:val="1"/>
      <w:marLeft w:val="0"/>
      <w:marRight w:val="0"/>
      <w:marTop w:val="0"/>
      <w:marBottom w:val="0"/>
      <w:divBdr>
        <w:top w:val="none" w:sz="0" w:space="0" w:color="auto"/>
        <w:left w:val="none" w:sz="0" w:space="0" w:color="auto"/>
        <w:bottom w:val="none" w:sz="0" w:space="0" w:color="auto"/>
        <w:right w:val="none" w:sz="0" w:space="0" w:color="auto"/>
      </w:divBdr>
    </w:div>
    <w:div w:id="292758850">
      <w:bodyDiv w:val="1"/>
      <w:marLeft w:val="0"/>
      <w:marRight w:val="0"/>
      <w:marTop w:val="0"/>
      <w:marBottom w:val="0"/>
      <w:divBdr>
        <w:top w:val="none" w:sz="0" w:space="0" w:color="auto"/>
        <w:left w:val="none" w:sz="0" w:space="0" w:color="auto"/>
        <w:bottom w:val="none" w:sz="0" w:space="0" w:color="auto"/>
        <w:right w:val="none" w:sz="0" w:space="0" w:color="auto"/>
      </w:divBdr>
    </w:div>
    <w:div w:id="362175649">
      <w:bodyDiv w:val="1"/>
      <w:marLeft w:val="0"/>
      <w:marRight w:val="0"/>
      <w:marTop w:val="0"/>
      <w:marBottom w:val="0"/>
      <w:divBdr>
        <w:top w:val="none" w:sz="0" w:space="0" w:color="auto"/>
        <w:left w:val="none" w:sz="0" w:space="0" w:color="auto"/>
        <w:bottom w:val="none" w:sz="0" w:space="0" w:color="auto"/>
        <w:right w:val="none" w:sz="0" w:space="0" w:color="auto"/>
      </w:divBdr>
    </w:div>
    <w:div w:id="391464601">
      <w:bodyDiv w:val="1"/>
      <w:marLeft w:val="0"/>
      <w:marRight w:val="0"/>
      <w:marTop w:val="0"/>
      <w:marBottom w:val="0"/>
      <w:divBdr>
        <w:top w:val="none" w:sz="0" w:space="0" w:color="auto"/>
        <w:left w:val="none" w:sz="0" w:space="0" w:color="auto"/>
        <w:bottom w:val="none" w:sz="0" w:space="0" w:color="auto"/>
        <w:right w:val="none" w:sz="0" w:space="0" w:color="auto"/>
      </w:divBdr>
    </w:div>
    <w:div w:id="405610141">
      <w:bodyDiv w:val="1"/>
      <w:marLeft w:val="0"/>
      <w:marRight w:val="0"/>
      <w:marTop w:val="0"/>
      <w:marBottom w:val="0"/>
      <w:divBdr>
        <w:top w:val="none" w:sz="0" w:space="0" w:color="auto"/>
        <w:left w:val="none" w:sz="0" w:space="0" w:color="auto"/>
        <w:bottom w:val="none" w:sz="0" w:space="0" w:color="auto"/>
        <w:right w:val="none" w:sz="0" w:space="0" w:color="auto"/>
      </w:divBdr>
    </w:div>
    <w:div w:id="411853396">
      <w:bodyDiv w:val="1"/>
      <w:marLeft w:val="0"/>
      <w:marRight w:val="0"/>
      <w:marTop w:val="0"/>
      <w:marBottom w:val="0"/>
      <w:divBdr>
        <w:top w:val="none" w:sz="0" w:space="0" w:color="auto"/>
        <w:left w:val="none" w:sz="0" w:space="0" w:color="auto"/>
        <w:bottom w:val="none" w:sz="0" w:space="0" w:color="auto"/>
        <w:right w:val="none" w:sz="0" w:space="0" w:color="auto"/>
      </w:divBdr>
    </w:div>
    <w:div w:id="424690428">
      <w:bodyDiv w:val="1"/>
      <w:marLeft w:val="0"/>
      <w:marRight w:val="0"/>
      <w:marTop w:val="0"/>
      <w:marBottom w:val="0"/>
      <w:divBdr>
        <w:top w:val="none" w:sz="0" w:space="0" w:color="auto"/>
        <w:left w:val="none" w:sz="0" w:space="0" w:color="auto"/>
        <w:bottom w:val="none" w:sz="0" w:space="0" w:color="auto"/>
        <w:right w:val="none" w:sz="0" w:space="0" w:color="auto"/>
      </w:divBdr>
    </w:div>
    <w:div w:id="429130866">
      <w:bodyDiv w:val="1"/>
      <w:marLeft w:val="0"/>
      <w:marRight w:val="0"/>
      <w:marTop w:val="0"/>
      <w:marBottom w:val="0"/>
      <w:divBdr>
        <w:top w:val="none" w:sz="0" w:space="0" w:color="auto"/>
        <w:left w:val="none" w:sz="0" w:space="0" w:color="auto"/>
        <w:bottom w:val="none" w:sz="0" w:space="0" w:color="auto"/>
        <w:right w:val="none" w:sz="0" w:space="0" w:color="auto"/>
      </w:divBdr>
    </w:div>
    <w:div w:id="446780397">
      <w:bodyDiv w:val="1"/>
      <w:marLeft w:val="0"/>
      <w:marRight w:val="0"/>
      <w:marTop w:val="0"/>
      <w:marBottom w:val="0"/>
      <w:divBdr>
        <w:top w:val="none" w:sz="0" w:space="0" w:color="auto"/>
        <w:left w:val="none" w:sz="0" w:space="0" w:color="auto"/>
        <w:bottom w:val="none" w:sz="0" w:space="0" w:color="auto"/>
        <w:right w:val="none" w:sz="0" w:space="0" w:color="auto"/>
      </w:divBdr>
    </w:div>
    <w:div w:id="459881432">
      <w:bodyDiv w:val="1"/>
      <w:marLeft w:val="0"/>
      <w:marRight w:val="0"/>
      <w:marTop w:val="0"/>
      <w:marBottom w:val="0"/>
      <w:divBdr>
        <w:top w:val="none" w:sz="0" w:space="0" w:color="auto"/>
        <w:left w:val="none" w:sz="0" w:space="0" w:color="auto"/>
        <w:bottom w:val="none" w:sz="0" w:space="0" w:color="auto"/>
        <w:right w:val="none" w:sz="0" w:space="0" w:color="auto"/>
      </w:divBdr>
    </w:div>
    <w:div w:id="528495910">
      <w:bodyDiv w:val="1"/>
      <w:marLeft w:val="0"/>
      <w:marRight w:val="0"/>
      <w:marTop w:val="0"/>
      <w:marBottom w:val="0"/>
      <w:divBdr>
        <w:top w:val="none" w:sz="0" w:space="0" w:color="auto"/>
        <w:left w:val="none" w:sz="0" w:space="0" w:color="auto"/>
        <w:bottom w:val="none" w:sz="0" w:space="0" w:color="auto"/>
        <w:right w:val="none" w:sz="0" w:space="0" w:color="auto"/>
      </w:divBdr>
    </w:div>
    <w:div w:id="531458423">
      <w:bodyDiv w:val="1"/>
      <w:marLeft w:val="0"/>
      <w:marRight w:val="0"/>
      <w:marTop w:val="0"/>
      <w:marBottom w:val="0"/>
      <w:divBdr>
        <w:top w:val="none" w:sz="0" w:space="0" w:color="auto"/>
        <w:left w:val="none" w:sz="0" w:space="0" w:color="auto"/>
        <w:bottom w:val="none" w:sz="0" w:space="0" w:color="auto"/>
        <w:right w:val="none" w:sz="0" w:space="0" w:color="auto"/>
      </w:divBdr>
    </w:div>
    <w:div w:id="534465101">
      <w:bodyDiv w:val="1"/>
      <w:marLeft w:val="0"/>
      <w:marRight w:val="0"/>
      <w:marTop w:val="0"/>
      <w:marBottom w:val="0"/>
      <w:divBdr>
        <w:top w:val="none" w:sz="0" w:space="0" w:color="auto"/>
        <w:left w:val="none" w:sz="0" w:space="0" w:color="auto"/>
        <w:bottom w:val="none" w:sz="0" w:space="0" w:color="auto"/>
        <w:right w:val="none" w:sz="0" w:space="0" w:color="auto"/>
      </w:divBdr>
    </w:div>
    <w:div w:id="546338223">
      <w:bodyDiv w:val="1"/>
      <w:marLeft w:val="0"/>
      <w:marRight w:val="0"/>
      <w:marTop w:val="0"/>
      <w:marBottom w:val="0"/>
      <w:divBdr>
        <w:top w:val="none" w:sz="0" w:space="0" w:color="auto"/>
        <w:left w:val="none" w:sz="0" w:space="0" w:color="auto"/>
        <w:bottom w:val="none" w:sz="0" w:space="0" w:color="auto"/>
        <w:right w:val="none" w:sz="0" w:space="0" w:color="auto"/>
      </w:divBdr>
    </w:div>
    <w:div w:id="585262192">
      <w:bodyDiv w:val="1"/>
      <w:marLeft w:val="0"/>
      <w:marRight w:val="0"/>
      <w:marTop w:val="0"/>
      <w:marBottom w:val="0"/>
      <w:divBdr>
        <w:top w:val="none" w:sz="0" w:space="0" w:color="auto"/>
        <w:left w:val="none" w:sz="0" w:space="0" w:color="auto"/>
        <w:bottom w:val="none" w:sz="0" w:space="0" w:color="auto"/>
        <w:right w:val="none" w:sz="0" w:space="0" w:color="auto"/>
      </w:divBdr>
    </w:div>
    <w:div w:id="616452530">
      <w:bodyDiv w:val="1"/>
      <w:marLeft w:val="0"/>
      <w:marRight w:val="0"/>
      <w:marTop w:val="0"/>
      <w:marBottom w:val="0"/>
      <w:divBdr>
        <w:top w:val="none" w:sz="0" w:space="0" w:color="auto"/>
        <w:left w:val="none" w:sz="0" w:space="0" w:color="auto"/>
        <w:bottom w:val="none" w:sz="0" w:space="0" w:color="auto"/>
        <w:right w:val="none" w:sz="0" w:space="0" w:color="auto"/>
      </w:divBdr>
    </w:div>
    <w:div w:id="622003879">
      <w:bodyDiv w:val="1"/>
      <w:marLeft w:val="0"/>
      <w:marRight w:val="0"/>
      <w:marTop w:val="0"/>
      <w:marBottom w:val="0"/>
      <w:divBdr>
        <w:top w:val="none" w:sz="0" w:space="0" w:color="auto"/>
        <w:left w:val="none" w:sz="0" w:space="0" w:color="auto"/>
        <w:bottom w:val="none" w:sz="0" w:space="0" w:color="auto"/>
        <w:right w:val="none" w:sz="0" w:space="0" w:color="auto"/>
      </w:divBdr>
    </w:div>
    <w:div w:id="631903753">
      <w:bodyDiv w:val="1"/>
      <w:marLeft w:val="0"/>
      <w:marRight w:val="0"/>
      <w:marTop w:val="0"/>
      <w:marBottom w:val="0"/>
      <w:divBdr>
        <w:top w:val="none" w:sz="0" w:space="0" w:color="auto"/>
        <w:left w:val="none" w:sz="0" w:space="0" w:color="auto"/>
        <w:bottom w:val="none" w:sz="0" w:space="0" w:color="auto"/>
        <w:right w:val="none" w:sz="0" w:space="0" w:color="auto"/>
      </w:divBdr>
    </w:div>
    <w:div w:id="632756877">
      <w:bodyDiv w:val="1"/>
      <w:marLeft w:val="0"/>
      <w:marRight w:val="0"/>
      <w:marTop w:val="0"/>
      <w:marBottom w:val="0"/>
      <w:divBdr>
        <w:top w:val="none" w:sz="0" w:space="0" w:color="auto"/>
        <w:left w:val="none" w:sz="0" w:space="0" w:color="auto"/>
        <w:bottom w:val="none" w:sz="0" w:space="0" w:color="auto"/>
        <w:right w:val="none" w:sz="0" w:space="0" w:color="auto"/>
      </w:divBdr>
    </w:div>
    <w:div w:id="661814983">
      <w:bodyDiv w:val="1"/>
      <w:marLeft w:val="0"/>
      <w:marRight w:val="0"/>
      <w:marTop w:val="0"/>
      <w:marBottom w:val="0"/>
      <w:divBdr>
        <w:top w:val="none" w:sz="0" w:space="0" w:color="auto"/>
        <w:left w:val="none" w:sz="0" w:space="0" w:color="auto"/>
        <w:bottom w:val="none" w:sz="0" w:space="0" w:color="auto"/>
        <w:right w:val="none" w:sz="0" w:space="0" w:color="auto"/>
      </w:divBdr>
    </w:div>
    <w:div w:id="705911451">
      <w:bodyDiv w:val="1"/>
      <w:marLeft w:val="0"/>
      <w:marRight w:val="0"/>
      <w:marTop w:val="0"/>
      <w:marBottom w:val="0"/>
      <w:divBdr>
        <w:top w:val="none" w:sz="0" w:space="0" w:color="auto"/>
        <w:left w:val="none" w:sz="0" w:space="0" w:color="auto"/>
        <w:bottom w:val="none" w:sz="0" w:space="0" w:color="auto"/>
        <w:right w:val="none" w:sz="0" w:space="0" w:color="auto"/>
      </w:divBdr>
    </w:div>
    <w:div w:id="741099437">
      <w:bodyDiv w:val="1"/>
      <w:marLeft w:val="0"/>
      <w:marRight w:val="0"/>
      <w:marTop w:val="0"/>
      <w:marBottom w:val="0"/>
      <w:divBdr>
        <w:top w:val="none" w:sz="0" w:space="0" w:color="auto"/>
        <w:left w:val="none" w:sz="0" w:space="0" w:color="auto"/>
        <w:bottom w:val="none" w:sz="0" w:space="0" w:color="auto"/>
        <w:right w:val="none" w:sz="0" w:space="0" w:color="auto"/>
      </w:divBdr>
    </w:div>
    <w:div w:id="767896559">
      <w:bodyDiv w:val="1"/>
      <w:marLeft w:val="0"/>
      <w:marRight w:val="0"/>
      <w:marTop w:val="0"/>
      <w:marBottom w:val="0"/>
      <w:divBdr>
        <w:top w:val="none" w:sz="0" w:space="0" w:color="auto"/>
        <w:left w:val="none" w:sz="0" w:space="0" w:color="auto"/>
        <w:bottom w:val="none" w:sz="0" w:space="0" w:color="auto"/>
        <w:right w:val="none" w:sz="0" w:space="0" w:color="auto"/>
      </w:divBdr>
    </w:div>
    <w:div w:id="835727136">
      <w:bodyDiv w:val="1"/>
      <w:marLeft w:val="0"/>
      <w:marRight w:val="0"/>
      <w:marTop w:val="0"/>
      <w:marBottom w:val="0"/>
      <w:divBdr>
        <w:top w:val="none" w:sz="0" w:space="0" w:color="auto"/>
        <w:left w:val="none" w:sz="0" w:space="0" w:color="auto"/>
        <w:bottom w:val="none" w:sz="0" w:space="0" w:color="auto"/>
        <w:right w:val="none" w:sz="0" w:space="0" w:color="auto"/>
      </w:divBdr>
    </w:div>
    <w:div w:id="865214386">
      <w:bodyDiv w:val="1"/>
      <w:marLeft w:val="0"/>
      <w:marRight w:val="0"/>
      <w:marTop w:val="0"/>
      <w:marBottom w:val="0"/>
      <w:divBdr>
        <w:top w:val="none" w:sz="0" w:space="0" w:color="auto"/>
        <w:left w:val="none" w:sz="0" w:space="0" w:color="auto"/>
        <w:bottom w:val="none" w:sz="0" w:space="0" w:color="auto"/>
        <w:right w:val="none" w:sz="0" w:space="0" w:color="auto"/>
      </w:divBdr>
    </w:div>
    <w:div w:id="886180788">
      <w:bodyDiv w:val="1"/>
      <w:marLeft w:val="0"/>
      <w:marRight w:val="0"/>
      <w:marTop w:val="0"/>
      <w:marBottom w:val="0"/>
      <w:divBdr>
        <w:top w:val="none" w:sz="0" w:space="0" w:color="auto"/>
        <w:left w:val="none" w:sz="0" w:space="0" w:color="auto"/>
        <w:bottom w:val="none" w:sz="0" w:space="0" w:color="auto"/>
        <w:right w:val="none" w:sz="0" w:space="0" w:color="auto"/>
      </w:divBdr>
    </w:div>
    <w:div w:id="904412505">
      <w:bodyDiv w:val="1"/>
      <w:marLeft w:val="0"/>
      <w:marRight w:val="0"/>
      <w:marTop w:val="0"/>
      <w:marBottom w:val="0"/>
      <w:divBdr>
        <w:top w:val="none" w:sz="0" w:space="0" w:color="auto"/>
        <w:left w:val="none" w:sz="0" w:space="0" w:color="auto"/>
        <w:bottom w:val="none" w:sz="0" w:space="0" w:color="auto"/>
        <w:right w:val="none" w:sz="0" w:space="0" w:color="auto"/>
      </w:divBdr>
    </w:div>
    <w:div w:id="906379673">
      <w:bodyDiv w:val="1"/>
      <w:marLeft w:val="0"/>
      <w:marRight w:val="0"/>
      <w:marTop w:val="0"/>
      <w:marBottom w:val="0"/>
      <w:divBdr>
        <w:top w:val="none" w:sz="0" w:space="0" w:color="auto"/>
        <w:left w:val="none" w:sz="0" w:space="0" w:color="auto"/>
        <w:bottom w:val="none" w:sz="0" w:space="0" w:color="auto"/>
        <w:right w:val="none" w:sz="0" w:space="0" w:color="auto"/>
      </w:divBdr>
    </w:div>
    <w:div w:id="961615772">
      <w:bodyDiv w:val="1"/>
      <w:marLeft w:val="0"/>
      <w:marRight w:val="0"/>
      <w:marTop w:val="0"/>
      <w:marBottom w:val="0"/>
      <w:divBdr>
        <w:top w:val="none" w:sz="0" w:space="0" w:color="auto"/>
        <w:left w:val="none" w:sz="0" w:space="0" w:color="auto"/>
        <w:bottom w:val="none" w:sz="0" w:space="0" w:color="auto"/>
        <w:right w:val="none" w:sz="0" w:space="0" w:color="auto"/>
      </w:divBdr>
    </w:div>
    <w:div w:id="982343659">
      <w:bodyDiv w:val="1"/>
      <w:marLeft w:val="0"/>
      <w:marRight w:val="0"/>
      <w:marTop w:val="0"/>
      <w:marBottom w:val="0"/>
      <w:divBdr>
        <w:top w:val="none" w:sz="0" w:space="0" w:color="auto"/>
        <w:left w:val="none" w:sz="0" w:space="0" w:color="auto"/>
        <w:bottom w:val="none" w:sz="0" w:space="0" w:color="auto"/>
        <w:right w:val="none" w:sz="0" w:space="0" w:color="auto"/>
      </w:divBdr>
    </w:div>
    <w:div w:id="992753199">
      <w:bodyDiv w:val="1"/>
      <w:marLeft w:val="0"/>
      <w:marRight w:val="0"/>
      <w:marTop w:val="0"/>
      <w:marBottom w:val="0"/>
      <w:divBdr>
        <w:top w:val="none" w:sz="0" w:space="0" w:color="auto"/>
        <w:left w:val="none" w:sz="0" w:space="0" w:color="auto"/>
        <w:bottom w:val="none" w:sz="0" w:space="0" w:color="auto"/>
        <w:right w:val="none" w:sz="0" w:space="0" w:color="auto"/>
      </w:divBdr>
    </w:div>
    <w:div w:id="999043652">
      <w:bodyDiv w:val="1"/>
      <w:marLeft w:val="0"/>
      <w:marRight w:val="0"/>
      <w:marTop w:val="0"/>
      <w:marBottom w:val="0"/>
      <w:divBdr>
        <w:top w:val="none" w:sz="0" w:space="0" w:color="auto"/>
        <w:left w:val="none" w:sz="0" w:space="0" w:color="auto"/>
        <w:bottom w:val="none" w:sz="0" w:space="0" w:color="auto"/>
        <w:right w:val="none" w:sz="0" w:space="0" w:color="auto"/>
      </w:divBdr>
    </w:div>
    <w:div w:id="1005985335">
      <w:bodyDiv w:val="1"/>
      <w:marLeft w:val="0"/>
      <w:marRight w:val="0"/>
      <w:marTop w:val="0"/>
      <w:marBottom w:val="0"/>
      <w:divBdr>
        <w:top w:val="none" w:sz="0" w:space="0" w:color="auto"/>
        <w:left w:val="none" w:sz="0" w:space="0" w:color="auto"/>
        <w:bottom w:val="none" w:sz="0" w:space="0" w:color="auto"/>
        <w:right w:val="none" w:sz="0" w:space="0" w:color="auto"/>
      </w:divBdr>
    </w:div>
    <w:div w:id="1009260955">
      <w:bodyDiv w:val="1"/>
      <w:marLeft w:val="0"/>
      <w:marRight w:val="0"/>
      <w:marTop w:val="0"/>
      <w:marBottom w:val="0"/>
      <w:divBdr>
        <w:top w:val="none" w:sz="0" w:space="0" w:color="auto"/>
        <w:left w:val="none" w:sz="0" w:space="0" w:color="auto"/>
        <w:bottom w:val="none" w:sz="0" w:space="0" w:color="auto"/>
        <w:right w:val="none" w:sz="0" w:space="0" w:color="auto"/>
      </w:divBdr>
    </w:div>
    <w:div w:id="1046947448">
      <w:bodyDiv w:val="1"/>
      <w:marLeft w:val="0"/>
      <w:marRight w:val="0"/>
      <w:marTop w:val="0"/>
      <w:marBottom w:val="0"/>
      <w:divBdr>
        <w:top w:val="none" w:sz="0" w:space="0" w:color="auto"/>
        <w:left w:val="none" w:sz="0" w:space="0" w:color="auto"/>
        <w:bottom w:val="none" w:sz="0" w:space="0" w:color="auto"/>
        <w:right w:val="none" w:sz="0" w:space="0" w:color="auto"/>
      </w:divBdr>
    </w:div>
    <w:div w:id="1050492175">
      <w:bodyDiv w:val="1"/>
      <w:marLeft w:val="0"/>
      <w:marRight w:val="0"/>
      <w:marTop w:val="0"/>
      <w:marBottom w:val="0"/>
      <w:divBdr>
        <w:top w:val="none" w:sz="0" w:space="0" w:color="auto"/>
        <w:left w:val="none" w:sz="0" w:space="0" w:color="auto"/>
        <w:bottom w:val="none" w:sz="0" w:space="0" w:color="auto"/>
        <w:right w:val="none" w:sz="0" w:space="0" w:color="auto"/>
      </w:divBdr>
    </w:div>
    <w:div w:id="1061103641">
      <w:bodyDiv w:val="1"/>
      <w:marLeft w:val="0"/>
      <w:marRight w:val="0"/>
      <w:marTop w:val="0"/>
      <w:marBottom w:val="0"/>
      <w:divBdr>
        <w:top w:val="none" w:sz="0" w:space="0" w:color="auto"/>
        <w:left w:val="none" w:sz="0" w:space="0" w:color="auto"/>
        <w:bottom w:val="none" w:sz="0" w:space="0" w:color="auto"/>
        <w:right w:val="none" w:sz="0" w:space="0" w:color="auto"/>
      </w:divBdr>
    </w:div>
    <w:div w:id="1096056184">
      <w:bodyDiv w:val="1"/>
      <w:marLeft w:val="0"/>
      <w:marRight w:val="0"/>
      <w:marTop w:val="0"/>
      <w:marBottom w:val="0"/>
      <w:divBdr>
        <w:top w:val="none" w:sz="0" w:space="0" w:color="auto"/>
        <w:left w:val="none" w:sz="0" w:space="0" w:color="auto"/>
        <w:bottom w:val="none" w:sz="0" w:space="0" w:color="auto"/>
        <w:right w:val="none" w:sz="0" w:space="0" w:color="auto"/>
      </w:divBdr>
    </w:div>
    <w:div w:id="1182469614">
      <w:bodyDiv w:val="1"/>
      <w:marLeft w:val="0"/>
      <w:marRight w:val="0"/>
      <w:marTop w:val="0"/>
      <w:marBottom w:val="0"/>
      <w:divBdr>
        <w:top w:val="none" w:sz="0" w:space="0" w:color="auto"/>
        <w:left w:val="none" w:sz="0" w:space="0" w:color="auto"/>
        <w:bottom w:val="none" w:sz="0" w:space="0" w:color="auto"/>
        <w:right w:val="none" w:sz="0" w:space="0" w:color="auto"/>
      </w:divBdr>
    </w:div>
    <w:div w:id="1184513871">
      <w:bodyDiv w:val="1"/>
      <w:marLeft w:val="0"/>
      <w:marRight w:val="0"/>
      <w:marTop w:val="0"/>
      <w:marBottom w:val="0"/>
      <w:divBdr>
        <w:top w:val="none" w:sz="0" w:space="0" w:color="auto"/>
        <w:left w:val="none" w:sz="0" w:space="0" w:color="auto"/>
        <w:bottom w:val="none" w:sz="0" w:space="0" w:color="auto"/>
        <w:right w:val="none" w:sz="0" w:space="0" w:color="auto"/>
      </w:divBdr>
    </w:div>
    <w:div w:id="1204295617">
      <w:bodyDiv w:val="1"/>
      <w:marLeft w:val="0"/>
      <w:marRight w:val="0"/>
      <w:marTop w:val="0"/>
      <w:marBottom w:val="0"/>
      <w:divBdr>
        <w:top w:val="none" w:sz="0" w:space="0" w:color="auto"/>
        <w:left w:val="none" w:sz="0" w:space="0" w:color="auto"/>
        <w:bottom w:val="none" w:sz="0" w:space="0" w:color="auto"/>
        <w:right w:val="none" w:sz="0" w:space="0" w:color="auto"/>
      </w:divBdr>
    </w:div>
    <w:div w:id="1204950228">
      <w:bodyDiv w:val="1"/>
      <w:marLeft w:val="0"/>
      <w:marRight w:val="0"/>
      <w:marTop w:val="0"/>
      <w:marBottom w:val="0"/>
      <w:divBdr>
        <w:top w:val="none" w:sz="0" w:space="0" w:color="auto"/>
        <w:left w:val="none" w:sz="0" w:space="0" w:color="auto"/>
        <w:bottom w:val="none" w:sz="0" w:space="0" w:color="auto"/>
        <w:right w:val="none" w:sz="0" w:space="0" w:color="auto"/>
      </w:divBdr>
    </w:div>
    <w:div w:id="1209755149">
      <w:bodyDiv w:val="1"/>
      <w:marLeft w:val="0"/>
      <w:marRight w:val="0"/>
      <w:marTop w:val="0"/>
      <w:marBottom w:val="0"/>
      <w:divBdr>
        <w:top w:val="none" w:sz="0" w:space="0" w:color="auto"/>
        <w:left w:val="none" w:sz="0" w:space="0" w:color="auto"/>
        <w:bottom w:val="none" w:sz="0" w:space="0" w:color="auto"/>
        <w:right w:val="none" w:sz="0" w:space="0" w:color="auto"/>
      </w:divBdr>
    </w:div>
    <w:div w:id="1218394606">
      <w:bodyDiv w:val="1"/>
      <w:marLeft w:val="0"/>
      <w:marRight w:val="0"/>
      <w:marTop w:val="0"/>
      <w:marBottom w:val="0"/>
      <w:divBdr>
        <w:top w:val="none" w:sz="0" w:space="0" w:color="auto"/>
        <w:left w:val="none" w:sz="0" w:space="0" w:color="auto"/>
        <w:bottom w:val="none" w:sz="0" w:space="0" w:color="auto"/>
        <w:right w:val="none" w:sz="0" w:space="0" w:color="auto"/>
      </w:divBdr>
    </w:div>
    <w:div w:id="1223829665">
      <w:bodyDiv w:val="1"/>
      <w:marLeft w:val="0"/>
      <w:marRight w:val="0"/>
      <w:marTop w:val="0"/>
      <w:marBottom w:val="0"/>
      <w:divBdr>
        <w:top w:val="none" w:sz="0" w:space="0" w:color="auto"/>
        <w:left w:val="none" w:sz="0" w:space="0" w:color="auto"/>
        <w:bottom w:val="none" w:sz="0" w:space="0" w:color="auto"/>
        <w:right w:val="none" w:sz="0" w:space="0" w:color="auto"/>
      </w:divBdr>
    </w:div>
    <w:div w:id="1230920007">
      <w:bodyDiv w:val="1"/>
      <w:marLeft w:val="0"/>
      <w:marRight w:val="0"/>
      <w:marTop w:val="0"/>
      <w:marBottom w:val="0"/>
      <w:divBdr>
        <w:top w:val="none" w:sz="0" w:space="0" w:color="auto"/>
        <w:left w:val="none" w:sz="0" w:space="0" w:color="auto"/>
        <w:bottom w:val="none" w:sz="0" w:space="0" w:color="auto"/>
        <w:right w:val="none" w:sz="0" w:space="0" w:color="auto"/>
      </w:divBdr>
    </w:div>
    <w:div w:id="1250698674">
      <w:bodyDiv w:val="1"/>
      <w:marLeft w:val="0"/>
      <w:marRight w:val="0"/>
      <w:marTop w:val="0"/>
      <w:marBottom w:val="0"/>
      <w:divBdr>
        <w:top w:val="none" w:sz="0" w:space="0" w:color="auto"/>
        <w:left w:val="none" w:sz="0" w:space="0" w:color="auto"/>
        <w:bottom w:val="none" w:sz="0" w:space="0" w:color="auto"/>
        <w:right w:val="none" w:sz="0" w:space="0" w:color="auto"/>
      </w:divBdr>
    </w:div>
    <w:div w:id="1281839152">
      <w:bodyDiv w:val="1"/>
      <w:marLeft w:val="0"/>
      <w:marRight w:val="0"/>
      <w:marTop w:val="0"/>
      <w:marBottom w:val="0"/>
      <w:divBdr>
        <w:top w:val="none" w:sz="0" w:space="0" w:color="auto"/>
        <w:left w:val="none" w:sz="0" w:space="0" w:color="auto"/>
        <w:bottom w:val="none" w:sz="0" w:space="0" w:color="auto"/>
        <w:right w:val="none" w:sz="0" w:space="0" w:color="auto"/>
      </w:divBdr>
    </w:div>
    <w:div w:id="1333724431">
      <w:bodyDiv w:val="1"/>
      <w:marLeft w:val="0"/>
      <w:marRight w:val="0"/>
      <w:marTop w:val="0"/>
      <w:marBottom w:val="0"/>
      <w:divBdr>
        <w:top w:val="none" w:sz="0" w:space="0" w:color="auto"/>
        <w:left w:val="none" w:sz="0" w:space="0" w:color="auto"/>
        <w:bottom w:val="none" w:sz="0" w:space="0" w:color="auto"/>
        <w:right w:val="none" w:sz="0" w:space="0" w:color="auto"/>
      </w:divBdr>
    </w:div>
    <w:div w:id="1341396826">
      <w:bodyDiv w:val="1"/>
      <w:marLeft w:val="0"/>
      <w:marRight w:val="0"/>
      <w:marTop w:val="0"/>
      <w:marBottom w:val="0"/>
      <w:divBdr>
        <w:top w:val="none" w:sz="0" w:space="0" w:color="auto"/>
        <w:left w:val="none" w:sz="0" w:space="0" w:color="auto"/>
        <w:bottom w:val="none" w:sz="0" w:space="0" w:color="auto"/>
        <w:right w:val="none" w:sz="0" w:space="0" w:color="auto"/>
      </w:divBdr>
    </w:div>
    <w:div w:id="1358460051">
      <w:bodyDiv w:val="1"/>
      <w:marLeft w:val="0"/>
      <w:marRight w:val="0"/>
      <w:marTop w:val="0"/>
      <w:marBottom w:val="0"/>
      <w:divBdr>
        <w:top w:val="none" w:sz="0" w:space="0" w:color="auto"/>
        <w:left w:val="none" w:sz="0" w:space="0" w:color="auto"/>
        <w:bottom w:val="none" w:sz="0" w:space="0" w:color="auto"/>
        <w:right w:val="none" w:sz="0" w:space="0" w:color="auto"/>
      </w:divBdr>
    </w:div>
    <w:div w:id="1381594176">
      <w:bodyDiv w:val="1"/>
      <w:marLeft w:val="0"/>
      <w:marRight w:val="0"/>
      <w:marTop w:val="0"/>
      <w:marBottom w:val="0"/>
      <w:divBdr>
        <w:top w:val="none" w:sz="0" w:space="0" w:color="auto"/>
        <w:left w:val="none" w:sz="0" w:space="0" w:color="auto"/>
        <w:bottom w:val="none" w:sz="0" w:space="0" w:color="auto"/>
        <w:right w:val="none" w:sz="0" w:space="0" w:color="auto"/>
      </w:divBdr>
    </w:div>
    <w:div w:id="1382943403">
      <w:bodyDiv w:val="1"/>
      <w:marLeft w:val="0"/>
      <w:marRight w:val="0"/>
      <w:marTop w:val="0"/>
      <w:marBottom w:val="0"/>
      <w:divBdr>
        <w:top w:val="none" w:sz="0" w:space="0" w:color="auto"/>
        <w:left w:val="none" w:sz="0" w:space="0" w:color="auto"/>
        <w:bottom w:val="none" w:sz="0" w:space="0" w:color="auto"/>
        <w:right w:val="none" w:sz="0" w:space="0" w:color="auto"/>
      </w:divBdr>
    </w:div>
    <w:div w:id="1389525924">
      <w:bodyDiv w:val="1"/>
      <w:marLeft w:val="0"/>
      <w:marRight w:val="0"/>
      <w:marTop w:val="0"/>
      <w:marBottom w:val="0"/>
      <w:divBdr>
        <w:top w:val="none" w:sz="0" w:space="0" w:color="auto"/>
        <w:left w:val="none" w:sz="0" w:space="0" w:color="auto"/>
        <w:bottom w:val="none" w:sz="0" w:space="0" w:color="auto"/>
        <w:right w:val="none" w:sz="0" w:space="0" w:color="auto"/>
      </w:divBdr>
    </w:div>
    <w:div w:id="1425882274">
      <w:bodyDiv w:val="1"/>
      <w:marLeft w:val="0"/>
      <w:marRight w:val="0"/>
      <w:marTop w:val="0"/>
      <w:marBottom w:val="0"/>
      <w:divBdr>
        <w:top w:val="none" w:sz="0" w:space="0" w:color="auto"/>
        <w:left w:val="none" w:sz="0" w:space="0" w:color="auto"/>
        <w:bottom w:val="none" w:sz="0" w:space="0" w:color="auto"/>
        <w:right w:val="none" w:sz="0" w:space="0" w:color="auto"/>
      </w:divBdr>
    </w:div>
    <w:div w:id="1434134980">
      <w:bodyDiv w:val="1"/>
      <w:marLeft w:val="0"/>
      <w:marRight w:val="0"/>
      <w:marTop w:val="0"/>
      <w:marBottom w:val="0"/>
      <w:divBdr>
        <w:top w:val="none" w:sz="0" w:space="0" w:color="auto"/>
        <w:left w:val="none" w:sz="0" w:space="0" w:color="auto"/>
        <w:bottom w:val="none" w:sz="0" w:space="0" w:color="auto"/>
        <w:right w:val="none" w:sz="0" w:space="0" w:color="auto"/>
      </w:divBdr>
    </w:div>
    <w:div w:id="1462335472">
      <w:bodyDiv w:val="1"/>
      <w:marLeft w:val="0"/>
      <w:marRight w:val="0"/>
      <w:marTop w:val="0"/>
      <w:marBottom w:val="0"/>
      <w:divBdr>
        <w:top w:val="none" w:sz="0" w:space="0" w:color="auto"/>
        <w:left w:val="none" w:sz="0" w:space="0" w:color="auto"/>
        <w:bottom w:val="none" w:sz="0" w:space="0" w:color="auto"/>
        <w:right w:val="none" w:sz="0" w:space="0" w:color="auto"/>
      </w:divBdr>
    </w:div>
    <w:div w:id="1490712233">
      <w:bodyDiv w:val="1"/>
      <w:marLeft w:val="0"/>
      <w:marRight w:val="0"/>
      <w:marTop w:val="0"/>
      <w:marBottom w:val="0"/>
      <w:divBdr>
        <w:top w:val="none" w:sz="0" w:space="0" w:color="auto"/>
        <w:left w:val="none" w:sz="0" w:space="0" w:color="auto"/>
        <w:bottom w:val="none" w:sz="0" w:space="0" w:color="auto"/>
        <w:right w:val="none" w:sz="0" w:space="0" w:color="auto"/>
      </w:divBdr>
    </w:div>
    <w:div w:id="1517500405">
      <w:bodyDiv w:val="1"/>
      <w:marLeft w:val="0"/>
      <w:marRight w:val="0"/>
      <w:marTop w:val="0"/>
      <w:marBottom w:val="0"/>
      <w:divBdr>
        <w:top w:val="none" w:sz="0" w:space="0" w:color="auto"/>
        <w:left w:val="none" w:sz="0" w:space="0" w:color="auto"/>
        <w:bottom w:val="none" w:sz="0" w:space="0" w:color="auto"/>
        <w:right w:val="none" w:sz="0" w:space="0" w:color="auto"/>
      </w:divBdr>
    </w:div>
    <w:div w:id="1520699634">
      <w:bodyDiv w:val="1"/>
      <w:marLeft w:val="0"/>
      <w:marRight w:val="0"/>
      <w:marTop w:val="0"/>
      <w:marBottom w:val="0"/>
      <w:divBdr>
        <w:top w:val="none" w:sz="0" w:space="0" w:color="auto"/>
        <w:left w:val="none" w:sz="0" w:space="0" w:color="auto"/>
        <w:bottom w:val="none" w:sz="0" w:space="0" w:color="auto"/>
        <w:right w:val="none" w:sz="0" w:space="0" w:color="auto"/>
      </w:divBdr>
    </w:div>
    <w:div w:id="1564288400">
      <w:bodyDiv w:val="1"/>
      <w:marLeft w:val="0"/>
      <w:marRight w:val="0"/>
      <w:marTop w:val="0"/>
      <w:marBottom w:val="0"/>
      <w:divBdr>
        <w:top w:val="none" w:sz="0" w:space="0" w:color="auto"/>
        <w:left w:val="none" w:sz="0" w:space="0" w:color="auto"/>
        <w:bottom w:val="none" w:sz="0" w:space="0" w:color="auto"/>
        <w:right w:val="none" w:sz="0" w:space="0" w:color="auto"/>
      </w:divBdr>
    </w:div>
    <w:div w:id="1573348089">
      <w:bodyDiv w:val="1"/>
      <w:marLeft w:val="0"/>
      <w:marRight w:val="0"/>
      <w:marTop w:val="0"/>
      <w:marBottom w:val="0"/>
      <w:divBdr>
        <w:top w:val="none" w:sz="0" w:space="0" w:color="auto"/>
        <w:left w:val="none" w:sz="0" w:space="0" w:color="auto"/>
        <w:bottom w:val="none" w:sz="0" w:space="0" w:color="auto"/>
        <w:right w:val="none" w:sz="0" w:space="0" w:color="auto"/>
      </w:divBdr>
    </w:div>
    <w:div w:id="1662613597">
      <w:bodyDiv w:val="1"/>
      <w:marLeft w:val="0"/>
      <w:marRight w:val="0"/>
      <w:marTop w:val="0"/>
      <w:marBottom w:val="0"/>
      <w:divBdr>
        <w:top w:val="none" w:sz="0" w:space="0" w:color="auto"/>
        <w:left w:val="none" w:sz="0" w:space="0" w:color="auto"/>
        <w:bottom w:val="none" w:sz="0" w:space="0" w:color="auto"/>
        <w:right w:val="none" w:sz="0" w:space="0" w:color="auto"/>
      </w:divBdr>
    </w:div>
    <w:div w:id="1679842724">
      <w:bodyDiv w:val="1"/>
      <w:marLeft w:val="0"/>
      <w:marRight w:val="0"/>
      <w:marTop w:val="0"/>
      <w:marBottom w:val="0"/>
      <w:divBdr>
        <w:top w:val="none" w:sz="0" w:space="0" w:color="auto"/>
        <w:left w:val="none" w:sz="0" w:space="0" w:color="auto"/>
        <w:bottom w:val="none" w:sz="0" w:space="0" w:color="auto"/>
        <w:right w:val="none" w:sz="0" w:space="0" w:color="auto"/>
      </w:divBdr>
    </w:div>
    <w:div w:id="1682049329">
      <w:bodyDiv w:val="1"/>
      <w:marLeft w:val="0"/>
      <w:marRight w:val="0"/>
      <w:marTop w:val="0"/>
      <w:marBottom w:val="0"/>
      <w:divBdr>
        <w:top w:val="none" w:sz="0" w:space="0" w:color="auto"/>
        <w:left w:val="none" w:sz="0" w:space="0" w:color="auto"/>
        <w:bottom w:val="none" w:sz="0" w:space="0" w:color="auto"/>
        <w:right w:val="none" w:sz="0" w:space="0" w:color="auto"/>
      </w:divBdr>
    </w:div>
    <w:div w:id="1717046040">
      <w:bodyDiv w:val="1"/>
      <w:marLeft w:val="0"/>
      <w:marRight w:val="0"/>
      <w:marTop w:val="0"/>
      <w:marBottom w:val="0"/>
      <w:divBdr>
        <w:top w:val="none" w:sz="0" w:space="0" w:color="auto"/>
        <w:left w:val="none" w:sz="0" w:space="0" w:color="auto"/>
        <w:bottom w:val="none" w:sz="0" w:space="0" w:color="auto"/>
        <w:right w:val="none" w:sz="0" w:space="0" w:color="auto"/>
      </w:divBdr>
    </w:div>
    <w:div w:id="1771701294">
      <w:bodyDiv w:val="1"/>
      <w:marLeft w:val="0"/>
      <w:marRight w:val="0"/>
      <w:marTop w:val="0"/>
      <w:marBottom w:val="0"/>
      <w:divBdr>
        <w:top w:val="none" w:sz="0" w:space="0" w:color="auto"/>
        <w:left w:val="none" w:sz="0" w:space="0" w:color="auto"/>
        <w:bottom w:val="none" w:sz="0" w:space="0" w:color="auto"/>
        <w:right w:val="none" w:sz="0" w:space="0" w:color="auto"/>
      </w:divBdr>
    </w:div>
    <w:div w:id="1801416571">
      <w:bodyDiv w:val="1"/>
      <w:marLeft w:val="0"/>
      <w:marRight w:val="0"/>
      <w:marTop w:val="0"/>
      <w:marBottom w:val="0"/>
      <w:divBdr>
        <w:top w:val="none" w:sz="0" w:space="0" w:color="auto"/>
        <w:left w:val="none" w:sz="0" w:space="0" w:color="auto"/>
        <w:bottom w:val="none" w:sz="0" w:space="0" w:color="auto"/>
        <w:right w:val="none" w:sz="0" w:space="0" w:color="auto"/>
      </w:divBdr>
    </w:div>
    <w:div w:id="1812748570">
      <w:bodyDiv w:val="1"/>
      <w:marLeft w:val="0"/>
      <w:marRight w:val="0"/>
      <w:marTop w:val="0"/>
      <w:marBottom w:val="0"/>
      <w:divBdr>
        <w:top w:val="none" w:sz="0" w:space="0" w:color="auto"/>
        <w:left w:val="none" w:sz="0" w:space="0" w:color="auto"/>
        <w:bottom w:val="none" w:sz="0" w:space="0" w:color="auto"/>
        <w:right w:val="none" w:sz="0" w:space="0" w:color="auto"/>
      </w:divBdr>
    </w:div>
    <w:div w:id="1918326437">
      <w:bodyDiv w:val="1"/>
      <w:marLeft w:val="0"/>
      <w:marRight w:val="0"/>
      <w:marTop w:val="0"/>
      <w:marBottom w:val="0"/>
      <w:divBdr>
        <w:top w:val="none" w:sz="0" w:space="0" w:color="auto"/>
        <w:left w:val="none" w:sz="0" w:space="0" w:color="auto"/>
        <w:bottom w:val="none" w:sz="0" w:space="0" w:color="auto"/>
        <w:right w:val="none" w:sz="0" w:space="0" w:color="auto"/>
      </w:divBdr>
    </w:div>
    <w:div w:id="1919247407">
      <w:bodyDiv w:val="1"/>
      <w:marLeft w:val="0"/>
      <w:marRight w:val="0"/>
      <w:marTop w:val="0"/>
      <w:marBottom w:val="0"/>
      <w:divBdr>
        <w:top w:val="none" w:sz="0" w:space="0" w:color="auto"/>
        <w:left w:val="none" w:sz="0" w:space="0" w:color="auto"/>
        <w:bottom w:val="none" w:sz="0" w:space="0" w:color="auto"/>
        <w:right w:val="none" w:sz="0" w:space="0" w:color="auto"/>
      </w:divBdr>
    </w:div>
    <w:div w:id="1946838827">
      <w:bodyDiv w:val="1"/>
      <w:marLeft w:val="0"/>
      <w:marRight w:val="0"/>
      <w:marTop w:val="0"/>
      <w:marBottom w:val="0"/>
      <w:divBdr>
        <w:top w:val="none" w:sz="0" w:space="0" w:color="auto"/>
        <w:left w:val="none" w:sz="0" w:space="0" w:color="auto"/>
        <w:bottom w:val="none" w:sz="0" w:space="0" w:color="auto"/>
        <w:right w:val="none" w:sz="0" w:space="0" w:color="auto"/>
      </w:divBdr>
    </w:div>
    <w:div w:id="1982340530">
      <w:bodyDiv w:val="1"/>
      <w:marLeft w:val="0"/>
      <w:marRight w:val="0"/>
      <w:marTop w:val="0"/>
      <w:marBottom w:val="0"/>
      <w:divBdr>
        <w:top w:val="none" w:sz="0" w:space="0" w:color="auto"/>
        <w:left w:val="none" w:sz="0" w:space="0" w:color="auto"/>
        <w:bottom w:val="none" w:sz="0" w:space="0" w:color="auto"/>
        <w:right w:val="none" w:sz="0" w:space="0" w:color="auto"/>
      </w:divBdr>
    </w:div>
    <w:div w:id="2024549512">
      <w:bodyDiv w:val="1"/>
      <w:marLeft w:val="0"/>
      <w:marRight w:val="0"/>
      <w:marTop w:val="0"/>
      <w:marBottom w:val="0"/>
      <w:divBdr>
        <w:top w:val="none" w:sz="0" w:space="0" w:color="auto"/>
        <w:left w:val="none" w:sz="0" w:space="0" w:color="auto"/>
        <w:bottom w:val="none" w:sz="0" w:space="0" w:color="auto"/>
        <w:right w:val="none" w:sz="0" w:space="0" w:color="auto"/>
      </w:divBdr>
    </w:div>
    <w:div w:id="2043364870">
      <w:bodyDiv w:val="1"/>
      <w:marLeft w:val="0"/>
      <w:marRight w:val="0"/>
      <w:marTop w:val="0"/>
      <w:marBottom w:val="0"/>
      <w:divBdr>
        <w:top w:val="none" w:sz="0" w:space="0" w:color="auto"/>
        <w:left w:val="none" w:sz="0" w:space="0" w:color="auto"/>
        <w:bottom w:val="none" w:sz="0" w:space="0" w:color="auto"/>
        <w:right w:val="none" w:sz="0" w:space="0" w:color="auto"/>
      </w:divBdr>
    </w:div>
    <w:div w:id="2049063565">
      <w:bodyDiv w:val="1"/>
      <w:marLeft w:val="0"/>
      <w:marRight w:val="0"/>
      <w:marTop w:val="0"/>
      <w:marBottom w:val="0"/>
      <w:divBdr>
        <w:top w:val="none" w:sz="0" w:space="0" w:color="auto"/>
        <w:left w:val="none" w:sz="0" w:space="0" w:color="auto"/>
        <w:bottom w:val="none" w:sz="0" w:space="0" w:color="auto"/>
        <w:right w:val="none" w:sz="0" w:space="0" w:color="auto"/>
      </w:divBdr>
    </w:div>
    <w:div w:id="2058357958">
      <w:bodyDiv w:val="1"/>
      <w:marLeft w:val="0"/>
      <w:marRight w:val="0"/>
      <w:marTop w:val="0"/>
      <w:marBottom w:val="0"/>
      <w:divBdr>
        <w:top w:val="none" w:sz="0" w:space="0" w:color="auto"/>
        <w:left w:val="none" w:sz="0" w:space="0" w:color="auto"/>
        <w:bottom w:val="none" w:sz="0" w:space="0" w:color="auto"/>
        <w:right w:val="none" w:sz="0" w:space="0" w:color="auto"/>
      </w:divBdr>
    </w:div>
    <w:div w:id="2068532822">
      <w:bodyDiv w:val="1"/>
      <w:marLeft w:val="0"/>
      <w:marRight w:val="0"/>
      <w:marTop w:val="0"/>
      <w:marBottom w:val="0"/>
      <w:divBdr>
        <w:top w:val="none" w:sz="0" w:space="0" w:color="auto"/>
        <w:left w:val="none" w:sz="0" w:space="0" w:color="auto"/>
        <w:bottom w:val="none" w:sz="0" w:space="0" w:color="auto"/>
        <w:right w:val="none" w:sz="0" w:space="0" w:color="auto"/>
      </w:divBdr>
    </w:div>
    <w:div w:id="2089570354">
      <w:bodyDiv w:val="1"/>
      <w:marLeft w:val="0"/>
      <w:marRight w:val="0"/>
      <w:marTop w:val="0"/>
      <w:marBottom w:val="0"/>
      <w:divBdr>
        <w:top w:val="none" w:sz="0" w:space="0" w:color="auto"/>
        <w:left w:val="none" w:sz="0" w:space="0" w:color="auto"/>
        <w:bottom w:val="none" w:sz="0" w:space="0" w:color="auto"/>
        <w:right w:val="none" w:sz="0" w:space="0" w:color="auto"/>
      </w:divBdr>
    </w:div>
    <w:div w:id="2095588584">
      <w:bodyDiv w:val="1"/>
      <w:marLeft w:val="0"/>
      <w:marRight w:val="0"/>
      <w:marTop w:val="0"/>
      <w:marBottom w:val="0"/>
      <w:divBdr>
        <w:top w:val="none" w:sz="0" w:space="0" w:color="auto"/>
        <w:left w:val="none" w:sz="0" w:space="0" w:color="auto"/>
        <w:bottom w:val="none" w:sz="0" w:space="0" w:color="auto"/>
        <w:right w:val="none" w:sz="0" w:space="0" w:color="auto"/>
      </w:divBdr>
    </w:div>
    <w:div w:id="21411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CO"/>
              <a:t>Porcentaje de avance por modulo de acuerdo a cronograma 2018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8D2-4619-9386-98F4CDE6F8A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8D2-4619-9386-98F4CDE6F8A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8D2-4619-9386-98F4CDE6F8A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8D2-4619-9386-98F4CDE6F8A7}"/>
              </c:ext>
            </c:extLst>
          </c:dPt>
          <c:dLbls>
            <c:dLbl>
              <c:idx val="0"/>
              <c:tx>
                <c:rich>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fld id="{AB1B612B-6A22-4DA5-934E-C08F42721508}" type="CATEGORYNAME">
                      <a:rPr lang="en-US"/>
                      <a:pPr>
                        <a:defRPr sz="1100">
                          <a:solidFill>
                            <a:schemeClr val="tx1"/>
                          </a:solidFill>
                        </a:defRPr>
                      </a:pPr>
                      <a:t>[NOMBRE DE CATEGORÍA]</a:t>
                    </a:fld>
                    <a:r>
                      <a:rPr lang="en-US" baseline="0"/>
                      <a:t>
99%</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endParaRPr lang="es-E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D2-4619-9386-98F4CDE6F8A7}"/>
                </c:ext>
              </c:extLst>
            </c:dLbl>
            <c:dLbl>
              <c:idx val="1"/>
              <c:tx>
                <c:rich>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fld id="{953973FC-50DA-47A0-8A70-845FCBAE577D}" type="CATEGORYNAME">
                      <a:rPr lang="en-US"/>
                      <a:pPr>
                        <a:defRPr sz="1100">
                          <a:solidFill>
                            <a:schemeClr val="tx1"/>
                          </a:solidFill>
                        </a:defRPr>
                      </a:pPr>
                      <a:t>[NOMBRE DE CATEGORÍA]</a:t>
                    </a:fld>
                    <a:r>
                      <a:rPr lang="en-US" baseline="0"/>
                      <a:t>
99.3%</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endParaRPr lang="es-E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D2-4619-9386-98F4CDE6F8A7}"/>
                </c:ext>
              </c:extLst>
            </c:dLbl>
            <c:dLbl>
              <c:idx val="2"/>
              <c:tx>
                <c:rich>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fld id="{A2202BEF-34AC-40DD-A09F-7FA1F975588B}" type="CATEGORYNAME">
                      <a:rPr lang="en-US"/>
                      <a:pPr>
                        <a:defRPr sz="1100">
                          <a:solidFill>
                            <a:schemeClr val="tx1"/>
                          </a:solidFill>
                        </a:defRPr>
                      </a:pPr>
                      <a:t>[NOMBRE DE CATEGORÍA]</a:t>
                    </a:fld>
                    <a:r>
                      <a:rPr lang="en-US" baseline="0"/>
                      <a:t>
99.5%</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endParaRPr lang="es-E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8D2-4619-9386-98F4CDE6F8A7}"/>
                </c:ext>
              </c:extLst>
            </c:dLbl>
            <c:dLbl>
              <c:idx val="3"/>
              <c:layout>
                <c:manualLayout>
                  <c:x val="-2.3931623931623972E-2"/>
                  <c:y val="-1.4279337573659456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fld id="{F9EBE37D-C7A2-4CEA-984B-BFA39FA62124}" type="CATEGORYNAME">
                      <a:rPr lang="en-US"/>
                      <a:pPr>
                        <a:defRPr sz="1100">
                          <a:solidFill>
                            <a:schemeClr val="tx1"/>
                          </a:solidFill>
                        </a:defRPr>
                      </a:pPr>
                      <a:t>[NOMBRE DE CATEGORÍA]</a:t>
                    </a:fld>
                    <a:endParaRPr lang="en-US"/>
                  </a:p>
                  <a:p>
                    <a:pPr>
                      <a:defRPr sz="1100">
                        <a:solidFill>
                          <a:schemeClr val="tx1"/>
                        </a:solidFill>
                      </a:defRPr>
                    </a:pPr>
                    <a:r>
                      <a:rPr lang="en-US" baseline="0"/>
                      <a:t> 99%</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9.2660878928595466E-2"/>
                      <c:h val="0.10659525498736784"/>
                    </c:manualLayout>
                  </c15:layout>
                  <c15:dlblFieldTable/>
                  <c15:showDataLabelsRange val="0"/>
                </c:ext>
                <c:ext xmlns:c16="http://schemas.microsoft.com/office/drawing/2014/chart" uri="{C3380CC4-5D6E-409C-BE32-E72D297353CC}">
                  <c16:uniqueId val="{00000007-68D2-4619-9386-98F4CDE6F8A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tx1"/>
                    </a:solidFill>
                    <a:latin typeface="+mn-lt"/>
                    <a:ea typeface="+mn-ea"/>
                    <a:cs typeface="+mn-cs"/>
                  </a:defRPr>
                </a:pPr>
                <a:endParaRPr lang="es-E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PERNO</c:v>
                </c:pt>
                <c:pt idx="1">
                  <c:v>SAE-SAI</c:v>
                </c:pt>
                <c:pt idx="2">
                  <c:v>FINANCIERA</c:v>
                </c:pt>
                <c:pt idx="3">
                  <c:v>TICS</c:v>
                </c:pt>
              </c:strCache>
            </c:strRef>
          </c:cat>
          <c:val>
            <c:numRef>
              <c:f>Hoja1!$B$2:$B$5</c:f>
              <c:numCache>
                <c:formatCode>General</c:formatCode>
                <c:ptCount val="4"/>
                <c:pt idx="0">
                  <c:v>99.1</c:v>
                </c:pt>
                <c:pt idx="1">
                  <c:v>99.3</c:v>
                </c:pt>
                <c:pt idx="2">
                  <c:v>99.5</c:v>
                </c:pt>
                <c:pt idx="3">
                  <c:v>99.7</c:v>
                </c:pt>
              </c:numCache>
            </c:numRef>
          </c:val>
          <c:extLst>
            <c:ext xmlns:c16="http://schemas.microsoft.com/office/drawing/2014/chart" uri="{C3380CC4-5D6E-409C-BE32-E72D297353CC}">
              <c16:uniqueId val="{00000008-68D2-4619-9386-98F4CDE6F8A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1646-FC65-4421-8BE8-0B1F63F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2360</Words>
  <Characters>12983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DELGADO VALENCIA</dc:creator>
  <cp:keywords/>
  <dc:description/>
  <cp:lastModifiedBy>Carlos Eduardo Maldonado Granados</cp:lastModifiedBy>
  <cp:revision>2</cp:revision>
  <cp:lastPrinted>2018-10-03T21:25:00Z</cp:lastPrinted>
  <dcterms:created xsi:type="dcterms:W3CDTF">2019-02-04T23:06:00Z</dcterms:created>
  <dcterms:modified xsi:type="dcterms:W3CDTF">2019-02-04T23:06:00Z</dcterms:modified>
</cp:coreProperties>
</file>